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4EA7" w:rsidRPr="00D62BC2" w:rsidRDefault="001F4EA7" w:rsidP="001F4EA7">
      <w:pPr>
        <w:jc w:val="center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ANEXO: ENCUESTA AUT</w:t>
      </w:r>
      <w:r w:rsidRPr="00D62BC2">
        <w:rPr>
          <w:rFonts w:asciiTheme="minorHAnsi" w:hAnsiTheme="minorHAnsi" w:cstheme="minorHAnsi"/>
          <w:b/>
          <w:sz w:val="22"/>
          <w:szCs w:val="22"/>
        </w:rPr>
        <w:t xml:space="preserve">OEVALUACION </w:t>
      </w:r>
      <w:r>
        <w:rPr>
          <w:rFonts w:asciiTheme="minorHAnsi" w:hAnsiTheme="minorHAnsi" w:cstheme="minorHAnsi"/>
          <w:b/>
          <w:sz w:val="22"/>
          <w:szCs w:val="22"/>
        </w:rPr>
        <w:t xml:space="preserve">DIAGNÓSTICA SISTEMA DE GESTIÓN Y CONTROL 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F5C60" w:rsidRDefault="00FF5C60" w:rsidP="001F4EA7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Theme="minorHAnsi" w:hAnsiTheme="minorHAnsi" w:cstheme="minorHAnsi"/>
          <w:b/>
          <w:color w:val="000000"/>
          <w:sz w:val="22"/>
          <w:szCs w:val="22"/>
        </w:rPr>
        <w:t>FICHA TECNICA: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Elaborado: </w:t>
      </w:r>
      <w:r>
        <w:rPr>
          <w:rFonts w:asciiTheme="minorHAnsi" w:hAnsiTheme="minorHAnsi" w:cstheme="minorHAnsi"/>
          <w:sz w:val="22"/>
          <w:szCs w:val="22"/>
        </w:rPr>
        <w:t xml:space="preserve">06 de </w:t>
      </w:r>
      <w:r w:rsidR="002A5BCA">
        <w:rPr>
          <w:rFonts w:asciiTheme="minorHAnsi" w:hAnsiTheme="minorHAnsi" w:cstheme="minorHAnsi"/>
          <w:sz w:val="22"/>
          <w:szCs w:val="22"/>
        </w:rPr>
        <w:t>s</w:t>
      </w:r>
      <w:r w:rsidR="00931B4C">
        <w:rPr>
          <w:rFonts w:asciiTheme="minorHAnsi" w:hAnsiTheme="minorHAnsi" w:cstheme="minorHAnsi"/>
          <w:sz w:val="22"/>
          <w:szCs w:val="22"/>
        </w:rPr>
        <w:t>eptiembre de 2018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color w:val="000000" w:themeColor="text1"/>
          <w:sz w:val="22"/>
          <w:szCs w:val="22"/>
        </w:rPr>
        <w:t>Lugar: Instalaciones del Banco Inmobiliario de Floridablanca</w:t>
      </w:r>
    </w:p>
    <w:p w:rsidR="001F4EA7" w:rsidRDefault="001F4EA7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color w:val="000000" w:themeColor="text1"/>
          <w:sz w:val="22"/>
          <w:szCs w:val="22"/>
        </w:rPr>
        <w:t>Numero de Encuestados: 11 Funcionarios</w:t>
      </w:r>
      <w:r w:rsidR="00931B4C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vinculados a la planta de personal del BIF </w:t>
      </w:r>
    </w:p>
    <w:p w:rsidR="00577B5F" w:rsidRPr="00D62BC2" w:rsidRDefault="00577B5F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color w:val="000000" w:themeColor="text1"/>
          <w:sz w:val="22"/>
          <w:szCs w:val="22"/>
        </w:rPr>
        <w:t>Apoyo del proceso de seguimiento y control de la entidad</w:t>
      </w:r>
    </w:p>
    <w:p w:rsidR="001F4EA7" w:rsidRDefault="001F4EA7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8E317E" w:rsidRPr="00601BAD" w:rsidRDefault="00601BAD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601BA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CRITERIOS DE VALOR</w:t>
      </w:r>
    </w:p>
    <w:p w:rsidR="00601BAD" w:rsidRDefault="00601BAD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7E21E1A0" wp14:editId="74D9ABC9">
            <wp:extent cx="5613842" cy="3405117"/>
            <wp:effectExtent l="0" t="0" r="635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902" cy="3410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BAD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5DA0372D" wp14:editId="6671AE9C">
            <wp:extent cx="5641088" cy="4253934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604" cy="426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BC5" w:rsidRDefault="00D66BC5" w:rsidP="00601BAD">
      <w:pPr>
        <w:jc w:val="both"/>
        <w:rPr>
          <w:rFonts w:ascii="Calibri" w:hAnsi="Calibri" w:cs="Calibri"/>
          <w:b/>
          <w:color w:val="000000"/>
        </w:rPr>
      </w:pPr>
    </w:p>
    <w:p w:rsidR="00D66BC5" w:rsidRDefault="00D66BC5" w:rsidP="00601BAD">
      <w:pPr>
        <w:jc w:val="both"/>
        <w:rPr>
          <w:rFonts w:ascii="Calibri" w:hAnsi="Calibri" w:cs="Calibri"/>
          <w:b/>
          <w:color w:val="000000"/>
        </w:rPr>
      </w:pPr>
    </w:p>
    <w:p w:rsidR="00D66BC5" w:rsidRPr="00CC57B2" w:rsidRDefault="00D66BC5" w:rsidP="00601BAD">
      <w:pPr>
        <w:jc w:val="both"/>
        <w:rPr>
          <w:rFonts w:ascii="Calibri" w:hAnsi="Calibri" w:cs="Calibri"/>
          <w:b/>
          <w:color w:val="000000"/>
        </w:rPr>
      </w:pPr>
    </w:p>
    <w:p w:rsidR="00601BAD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32447AC7" wp14:editId="0826F18C">
            <wp:extent cx="5811205" cy="3715361"/>
            <wp:effectExtent l="0" t="0" r="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205" cy="371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BC5" w:rsidRPr="00CC57B2" w:rsidRDefault="00D66BC5" w:rsidP="00601BAD">
      <w:pPr>
        <w:jc w:val="both"/>
        <w:rPr>
          <w:rFonts w:ascii="Calibri" w:hAnsi="Calibri" w:cs="Calibri"/>
          <w:b/>
          <w:color w:val="000000"/>
        </w:rPr>
      </w:pP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590D45C0" wp14:editId="6D39B1EF">
            <wp:extent cx="5830495" cy="3918857"/>
            <wp:effectExtent l="0" t="0" r="571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495" cy="3918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lastRenderedPageBreak/>
        <w:drawing>
          <wp:inline distT="0" distB="0" distL="0" distR="0" wp14:anchorId="596C2033" wp14:editId="241C2077">
            <wp:extent cx="5610225" cy="2990850"/>
            <wp:effectExtent l="0" t="0" r="698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66164A32" wp14:editId="00295F9F">
            <wp:extent cx="5610225" cy="388620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lastRenderedPageBreak/>
        <w:drawing>
          <wp:inline distT="0" distB="0" distL="0" distR="0" wp14:anchorId="4E46091D" wp14:editId="6FD879C5">
            <wp:extent cx="5577840" cy="5073015"/>
            <wp:effectExtent l="0" t="0" r="381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0" b="1"/>
                    <a:stretch/>
                  </pic:blipFill>
                  <pic:spPr bwMode="auto">
                    <a:xfrm>
                      <a:off x="0" y="0"/>
                      <a:ext cx="5577840" cy="507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  <w:r w:rsidRPr="00CC57B2">
        <w:rPr>
          <w:rFonts w:ascii="Calibri" w:hAnsi="Calibri" w:cs="Calibri"/>
          <w:b/>
          <w:noProof/>
          <w:color w:val="000000"/>
          <w:lang w:val="es-CO" w:eastAsia="es-CO"/>
        </w:rPr>
        <w:drawing>
          <wp:inline distT="0" distB="0" distL="0" distR="0" wp14:anchorId="5EC479CB" wp14:editId="32814B12">
            <wp:extent cx="5610225" cy="3990975"/>
            <wp:effectExtent l="0" t="0" r="9525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BAD" w:rsidRPr="00CC57B2" w:rsidRDefault="00601BAD" w:rsidP="00601BAD">
      <w:pPr>
        <w:jc w:val="both"/>
        <w:rPr>
          <w:rFonts w:ascii="Calibri" w:hAnsi="Calibri" w:cs="Calibri"/>
          <w:b/>
          <w:color w:val="000000"/>
        </w:rPr>
      </w:pPr>
    </w:p>
    <w:p w:rsidR="00601BAD" w:rsidRDefault="00601BAD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8E317E" w:rsidRDefault="008E317E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1C1511" w:rsidRDefault="001C1511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1C1511" w:rsidRDefault="001C1511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1C1511" w:rsidRDefault="001C1511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1C1511" w:rsidRPr="00D62BC2" w:rsidRDefault="001C1511" w:rsidP="001F4EA7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:rsidR="001F4EA7" w:rsidRPr="00D62BC2" w:rsidRDefault="00601BAD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b/>
          <w:color w:val="000000" w:themeColor="text1"/>
          <w:sz w:val="22"/>
          <w:szCs w:val="22"/>
        </w:rPr>
        <w:t>CRITERIOS DE INTERPRETACION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tbl>
      <w:tblPr>
        <w:tblW w:w="9300" w:type="dxa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6"/>
        <w:gridCol w:w="1680"/>
        <w:gridCol w:w="35"/>
        <w:gridCol w:w="6915"/>
        <w:gridCol w:w="104"/>
      </w:tblGrid>
      <w:tr w:rsidR="001F4EA7" w:rsidRPr="00C05636" w:rsidTr="008E317E">
        <w:trPr>
          <w:gridAfter w:val="1"/>
          <w:wAfter w:w="104" w:type="dxa"/>
          <w:trHeight w:hRule="exact" w:val="279"/>
          <w:jc w:val="center"/>
        </w:trPr>
        <w:tc>
          <w:tcPr>
            <w:tcW w:w="9196" w:type="dxa"/>
            <w:gridSpan w:val="4"/>
            <w:tcBorders>
              <w:top w:val="single" w:sz="14" w:space="0" w:color="000000"/>
              <w:left w:val="single" w:sz="14" w:space="0" w:color="000000"/>
              <w:bottom w:val="single" w:sz="8" w:space="0" w:color="000000"/>
              <w:right w:val="single" w:sz="14" w:space="0" w:color="000000"/>
            </w:tcBorders>
          </w:tcPr>
          <w:p w:rsidR="001F4EA7" w:rsidRPr="00C05636" w:rsidRDefault="001F4EA7" w:rsidP="00C05636">
            <w:pPr>
              <w:rPr>
                <w:sz w:val="22"/>
                <w:szCs w:val="22"/>
              </w:rPr>
            </w:pPr>
            <w:r w:rsidRPr="00C05636">
              <w:rPr>
                <w:sz w:val="22"/>
                <w:szCs w:val="22"/>
              </w:rPr>
              <w:t>CONVENCIONES</w:t>
            </w:r>
          </w:p>
          <w:p w:rsidR="001F4EA7" w:rsidRPr="00C05636" w:rsidRDefault="001F4EA7" w:rsidP="00C05636">
            <w:pPr>
              <w:rPr>
                <w:sz w:val="22"/>
                <w:szCs w:val="22"/>
              </w:rPr>
            </w:pPr>
          </w:p>
        </w:tc>
      </w:tr>
      <w:tr w:rsidR="001F4EA7" w:rsidRPr="00C05636" w:rsidTr="008E317E">
        <w:trPr>
          <w:trHeight w:hRule="exact" w:val="291"/>
          <w:jc w:val="center"/>
        </w:trPr>
        <w:tc>
          <w:tcPr>
            <w:tcW w:w="2250" w:type="dxa"/>
            <w:gridSpan w:val="2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</w:tcPr>
          <w:p w:rsidR="001F4EA7" w:rsidRPr="00C05636" w:rsidRDefault="001F4EA7" w:rsidP="00C05636">
            <w:pPr>
              <w:tabs>
                <w:tab w:val="left" w:pos="1120"/>
              </w:tabs>
              <w:ind w:right="1277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 xml:space="preserve">                                           VVAVALORVALORVALOR</w:t>
            </w:r>
          </w:p>
        </w:tc>
        <w:tc>
          <w:tcPr>
            <w:tcW w:w="2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 xml:space="preserve">               </w:t>
            </w:r>
          </w:p>
          <w:p w:rsidR="001F4EA7" w:rsidRPr="00C05636" w:rsidRDefault="001F4EA7" w:rsidP="00C05636">
            <w:pPr>
              <w:tabs>
                <w:tab w:val="left" w:pos="1120"/>
              </w:tabs>
              <w:ind w:right="1277"/>
              <w:rPr>
                <w:rFonts w:eastAsia="Arial"/>
                <w:sz w:val="22"/>
                <w:szCs w:val="22"/>
              </w:rPr>
            </w:pPr>
          </w:p>
        </w:tc>
        <w:tc>
          <w:tcPr>
            <w:tcW w:w="70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4" w:space="0" w:color="000000"/>
            </w:tcBorders>
            <w:shd w:val="clear" w:color="auto" w:fill="D9D9D9"/>
          </w:tcPr>
          <w:p w:rsidR="001F4EA7" w:rsidRPr="00C05636" w:rsidRDefault="001F4EA7" w:rsidP="00C05636">
            <w:pPr>
              <w:ind w:right="4467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INTERPRETACIONES</w:t>
            </w:r>
          </w:p>
        </w:tc>
      </w:tr>
      <w:tr w:rsidR="001F4EA7" w:rsidRPr="00C05636" w:rsidTr="008E317E">
        <w:trPr>
          <w:gridAfter w:val="1"/>
          <w:wAfter w:w="104" w:type="dxa"/>
          <w:trHeight w:hRule="exact" w:val="449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0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N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7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z w:val="22"/>
                <w:szCs w:val="22"/>
              </w:rPr>
              <w:t>plica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w w:val="91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9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1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0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la</w:t>
            </w:r>
            <w:r w:rsidRPr="00C05636">
              <w:rPr>
                <w:rFonts w:eastAsia="Arial"/>
                <w:spacing w:val="-4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no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plica</w:t>
            </w:r>
            <w:r w:rsidRPr="00C05636">
              <w:rPr>
                <w:rFonts w:eastAsia="Arial"/>
                <w:spacing w:val="-1"/>
                <w:w w:val="96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ó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-5"/>
                <w:w w:val="9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>me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ra</w:t>
            </w:r>
            <w:r w:rsidRPr="00C05636">
              <w:rPr>
                <w:rFonts w:eastAsia="Arial"/>
                <w:sz w:val="22"/>
                <w:szCs w:val="22"/>
              </w:rPr>
              <w:t>l.</w:t>
            </w:r>
          </w:p>
        </w:tc>
      </w:tr>
      <w:tr w:rsidR="001F4EA7" w:rsidRPr="00C05636" w:rsidTr="00C05636">
        <w:trPr>
          <w:gridAfter w:val="1"/>
          <w:wAfter w:w="104" w:type="dxa"/>
          <w:trHeight w:hRule="exact" w:val="598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F4EA7" w:rsidRPr="00C05636" w:rsidRDefault="00B12019" w:rsidP="00C05636">
            <w:pPr>
              <w:ind w:right="727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1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N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7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x</w:t>
            </w:r>
            <w:r w:rsidRPr="00C05636">
              <w:rPr>
                <w:rFonts w:eastAsia="Arial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sz w:val="22"/>
                <w:szCs w:val="22"/>
              </w:rPr>
              <w:t>te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  <w:r w:rsidRPr="00C05636">
              <w:rPr>
                <w:rFonts w:eastAsia="Arial"/>
                <w:w w:val="91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9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1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0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la</w:t>
            </w:r>
            <w:r w:rsidRPr="00C05636">
              <w:rPr>
                <w:rFonts w:eastAsia="Arial"/>
                <w:spacing w:val="-4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no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x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tencia</w:t>
            </w:r>
            <w:r w:rsidRPr="00C05636">
              <w:rPr>
                <w:rFonts w:eastAsia="Arial"/>
                <w:spacing w:val="-5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-3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80"/>
                <w:sz w:val="22"/>
                <w:szCs w:val="22"/>
              </w:rPr>
              <w:t>s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102"/>
                <w:sz w:val="22"/>
                <w:szCs w:val="22"/>
              </w:rPr>
              <w:t>p</w:t>
            </w:r>
            <w:r w:rsidRPr="00C05636">
              <w:rPr>
                <w:rFonts w:eastAsia="Arial"/>
                <w:spacing w:val="1"/>
                <w:w w:val="102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101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e</w:t>
            </w:r>
            <w:r w:rsidRPr="00C05636">
              <w:rPr>
                <w:rFonts w:eastAsia="Arial"/>
                <w:sz w:val="22"/>
                <w:szCs w:val="22"/>
              </w:rPr>
              <w:t>l</w:t>
            </w:r>
            <w:r w:rsidRPr="00C05636">
              <w:rPr>
                <w:rFonts w:eastAsia="Arial"/>
                <w:spacing w:val="-1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 xml:space="preserve">mplimiento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r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t</w:t>
            </w:r>
            <w:r w:rsidRPr="00C05636">
              <w:rPr>
                <w:rFonts w:eastAsia="Arial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M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od</w:t>
            </w:r>
            <w:r w:rsidRPr="00C05636">
              <w:rPr>
                <w:rFonts w:eastAsia="Arial"/>
                <w:sz w:val="22"/>
                <w:szCs w:val="22"/>
              </w:rPr>
              <w:t>elo</w:t>
            </w:r>
            <w:r w:rsidRPr="00C05636">
              <w:rPr>
                <w:rFonts w:eastAsia="Arial"/>
                <w:spacing w:val="-1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7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80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9"/>
                <w:sz w:val="22"/>
                <w:szCs w:val="22"/>
              </w:rPr>
              <w:t>t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á</w:t>
            </w:r>
            <w:r w:rsidRPr="00C05636">
              <w:rPr>
                <w:rFonts w:eastAsia="Arial"/>
                <w:w w:val="102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1"/>
                <w:w w:val="102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8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105"/>
                <w:sz w:val="22"/>
                <w:szCs w:val="22"/>
              </w:rPr>
              <w:t>nt</w:t>
            </w:r>
            <w:r w:rsidRPr="00C05636">
              <w:rPr>
                <w:rFonts w:eastAsia="Arial"/>
                <w:spacing w:val="1"/>
                <w:w w:val="105"/>
                <w:sz w:val="22"/>
                <w:szCs w:val="22"/>
              </w:rPr>
              <w:t>r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108"/>
                <w:sz w:val="22"/>
                <w:szCs w:val="22"/>
              </w:rPr>
              <w:t>l</w:t>
            </w:r>
            <w:r w:rsidRPr="00C05636">
              <w:rPr>
                <w:rFonts w:eastAsia="Arial"/>
                <w:spacing w:val="-1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9"/>
                <w:sz w:val="22"/>
                <w:szCs w:val="22"/>
              </w:rPr>
              <w:t>Inte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.</w:t>
            </w:r>
          </w:p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</w:p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</w:p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</w:p>
          <w:p w:rsidR="001F4EA7" w:rsidRPr="00C05636" w:rsidRDefault="001F4EA7" w:rsidP="00C05636">
            <w:pPr>
              <w:ind w:left="23"/>
              <w:rPr>
                <w:rFonts w:eastAsia="Arial"/>
                <w:sz w:val="22"/>
                <w:szCs w:val="22"/>
              </w:rPr>
            </w:pPr>
          </w:p>
        </w:tc>
      </w:tr>
      <w:tr w:rsidR="001F4EA7" w:rsidRPr="00C05636" w:rsidTr="008E317E">
        <w:trPr>
          <w:gridAfter w:val="1"/>
          <w:wAfter w:w="104" w:type="dxa"/>
          <w:trHeight w:hRule="exact" w:val="643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F4EA7" w:rsidRPr="00C05636" w:rsidRDefault="001F4EA7" w:rsidP="00C05636">
            <w:pPr>
              <w:ind w:right="727"/>
              <w:jc w:val="center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2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pacing w:val="-1"/>
                <w:w w:val="86"/>
                <w:sz w:val="22"/>
                <w:szCs w:val="22"/>
              </w:rPr>
              <w:t>E</w:t>
            </w:r>
            <w:r w:rsidRPr="00C05636">
              <w:rPr>
                <w:rFonts w:eastAsia="Arial"/>
                <w:w w:val="86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-3"/>
                <w:w w:val="8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sarro</w:t>
            </w:r>
            <w:r w:rsidRPr="00C05636">
              <w:rPr>
                <w:rFonts w:eastAsia="Arial"/>
                <w:sz w:val="22"/>
                <w:szCs w:val="22"/>
              </w:rPr>
              <w:t>llo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w w:val="90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4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9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8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x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13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una</w:t>
            </w:r>
            <w:r w:rsidRPr="00C05636">
              <w:rPr>
                <w:rFonts w:eastAsia="Arial"/>
                <w:spacing w:val="-5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rs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ó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-6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in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l</w:t>
            </w:r>
            <w:r w:rsidRPr="00C05636">
              <w:rPr>
                <w:rFonts w:eastAsia="Arial"/>
                <w:spacing w:val="4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-3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80"/>
                <w:sz w:val="22"/>
                <w:szCs w:val="22"/>
              </w:rPr>
              <w:t>s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102"/>
                <w:sz w:val="22"/>
                <w:szCs w:val="22"/>
              </w:rPr>
              <w:t>p</w:t>
            </w:r>
            <w:r w:rsidRPr="00C05636">
              <w:rPr>
                <w:rFonts w:eastAsia="Arial"/>
                <w:spacing w:val="1"/>
                <w:w w:val="102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101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del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 xml:space="preserve">mplimiento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q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11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115"/>
                <w:sz w:val="22"/>
                <w:szCs w:val="22"/>
              </w:rPr>
              <w:t>t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.</w:t>
            </w:r>
          </w:p>
        </w:tc>
      </w:tr>
      <w:tr w:rsidR="001F4EA7" w:rsidRPr="00C05636" w:rsidTr="008E317E">
        <w:trPr>
          <w:gridAfter w:val="1"/>
          <w:wAfter w:w="104" w:type="dxa"/>
          <w:trHeight w:hRule="exact" w:val="620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F4EA7" w:rsidRPr="00C05636" w:rsidRDefault="001F4EA7" w:rsidP="00C05636">
            <w:pPr>
              <w:ind w:right="727"/>
              <w:jc w:val="center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3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pacing w:val="-1"/>
                <w:sz w:val="22"/>
                <w:szCs w:val="22"/>
              </w:rPr>
              <w:t>i</w:t>
            </w:r>
            <w:r w:rsidRPr="00C05636">
              <w:rPr>
                <w:rFonts w:eastAsia="Arial"/>
                <w:sz w:val="22"/>
                <w:szCs w:val="22"/>
              </w:rPr>
              <w:t>mplemen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ta</w:t>
            </w:r>
            <w:r w:rsidRPr="00C05636">
              <w:rPr>
                <w:rFonts w:eastAsia="Arial"/>
                <w:sz w:val="22"/>
                <w:szCs w:val="22"/>
              </w:rPr>
              <w:t>do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  <w:r w:rsidRPr="00C05636">
              <w:rPr>
                <w:rFonts w:eastAsia="Arial"/>
                <w:w w:val="90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4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9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8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tá</w:t>
            </w:r>
            <w:r w:rsidRPr="00C05636">
              <w:rPr>
                <w:rFonts w:eastAsia="Arial"/>
                <w:spacing w:val="-3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3"/>
                <w:sz w:val="22"/>
                <w:szCs w:val="22"/>
              </w:rPr>
              <w:t>eñ</w:t>
            </w:r>
            <w:r w:rsidRPr="00C05636">
              <w:rPr>
                <w:rFonts w:eastAsia="Arial"/>
                <w:spacing w:val="1"/>
                <w:w w:val="93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98"/>
                <w:sz w:val="22"/>
                <w:szCs w:val="22"/>
              </w:rPr>
              <w:t>ment</w:t>
            </w:r>
            <w:r w:rsidRPr="00C05636">
              <w:rPr>
                <w:rFonts w:eastAsia="Arial"/>
                <w:spacing w:val="1"/>
                <w:w w:val="98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ap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ro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b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ad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"/>
                <w:w w:val="9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y</w:t>
            </w:r>
            <w:r w:rsidRPr="00C05636">
              <w:rPr>
                <w:rFonts w:eastAsia="Arial"/>
                <w:spacing w:val="-1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ex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8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4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 xml:space="preserve">mplimiento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q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11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115"/>
                <w:sz w:val="22"/>
                <w:szCs w:val="22"/>
              </w:rPr>
              <w:t>t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.</w:t>
            </w:r>
          </w:p>
          <w:p w:rsidR="001F4EA7" w:rsidRPr="00C05636" w:rsidRDefault="001F4EA7" w:rsidP="00C05636">
            <w:pPr>
              <w:ind w:left="23"/>
              <w:rPr>
                <w:rFonts w:eastAsia="Arial"/>
                <w:w w:val="75"/>
                <w:sz w:val="22"/>
                <w:szCs w:val="22"/>
              </w:rPr>
            </w:pPr>
          </w:p>
          <w:p w:rsidR="001F4EA7" w:rsidRPr="00C05636" w:rsidRDefault="001F4EA7" w:rsidP="00C05636">
            <w:pPr>
              <w:ind w:left="23"/>
              <w:rPr>
                <w:rFonts w:eastAsia="Arial"/>
                <w:sz w:val="22"/>
                <w:szCs w:val="22"/>
              </w:rPr>
            </w:pPr>
          </w:p>
        </w:tc>
      </w:tr>
      <w:tr w:rsidR="001F4EA7" w:rsidRPr="00C05636" w:rsidTr="00C05636">
        <w:trPr>
          <w:gridAfter w:val="1"/>
          <w:wAfter w:w="104" w:type="dxa"/>
          <w:trHeight w:hRule="exact" w:val="724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F4EA7" w:rsidRPr="00C05636" w:rsidRDefault="001F4EA7" w:rsidP="00C05636">
            <w:pPr>
              <w:ind w:right="727"/>
              <w:jc w:val="center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4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P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r</w:t>
            </w:r>
            <w:r w:rsidRPr="00C05636">
              <w:rPr>
                <w:rFonts w:eastAsia="Arial"/>
                <w:spacing w:val="-4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me</w:t>
            </w:r>
            <w:r w:rsidRPr="00C05636">
              <w:rPr>
                <w:rFonts w:eastAsia="Arial"/>
                <w:spacing w:val="-2"/>
                <w:sz w:val="22"/>
                <w:szCs w:val="22"/>
              </w:rPr>
              <w:t>j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ora</w:t>
            </w:r>
            <w:r w:rsidRPr="00C05636">
              <w:rPr>
                <w:rFonts w:eastAsia="Arial"/>
                <w:sz w:val="22"/>
                <w:szCs w:val="22"/>
              </w:rPr>
              <w:t>r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0"/>
                <w:position w:val="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4"/>
                <w:w w:val="9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position w:val="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0"/>
                <w:position w:val="1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0"/>
                <w:position w:val="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9"/>
                <w:w w:val="9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8"/>
                <w:w w:val="9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1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1"/>
                <w:position w:val="1"/>
                <w:sz w:val="22"/>
                <w:szCs w:val="22"/>
              </w:rPr>
              <w:t>tá</w:t>
            </w:r>
            <w:r w:rsidRPr="00C05636">
              <w:rPr>
                <w:rFonts w:eastAsia="Arial"/>
                <w:spacing w:val="-3"/>
                <w:w w:val="91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103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88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3"/>
                <w:position w:val="1"/>
                <w:sz w:val="22"/>
                <w:szCs w:val="22"/>
              </w:rPr>
              <w:t>eñ</w:t>
            </w:r>
            <w:r w:rsidRPr="00C05636">
              <w:rPr>
                <w:rFonts w:eastAsia="Arial"/>
                <w:spacing w:val="1"/>
                <w:w w:val="93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position w:val="1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103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"/>
                <w:w w:val="91"/>
                <w:position w:val="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98"/>
                <w:position w:val="1"/>
                <w:sz w:val="22"/>
                <w:szCs w:val="22"/>
              </w:rPr>
              <w:t>ment</w:t>
            </w:r>
            <w:r w:rsidRPr="00C05636">
              <w:rPr>
                <w:rFonts w:eastAsia="Arial"/>
                <w:spacing w:val="1"/>
                <w:w w:val="98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position w:val="1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6"/>
                <w:position w:val="1"/>
                <w:sz w:val="22"/>
                <w:szCs w:val="22"/>
              </w:rPr>
              <w:t>ap</w:t>
            </w:r>
            <w:r w:rsidRPr="00C05636">
              <w:rPr>
                <w:rFonts w:eastAsia="Arial"/>
                <w:spacing w:val="1"/>
                <w:w w:val="96"/>
                <w:position w:val="1"/>
                <w:sz w:val="22"/>
                <w:szCs w:val="22"/>
              </w:rPr>
              <w:t>r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96"/>
                <w:position w:val="1"/>
                <w:sz w:val="22"/>
                <w:szCs w:val="22"/>
              </w:rPr>
              <w:t>b</w:t>
            </w:r>
            <w:r w:rsidRPr="00C05636">
              <w:rPr>
                <w:rFonts w:eastAsia="Arial"/>
                <w:spacing w:val="1"/>
                <w:w w:val="96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position w:val="1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position w:val="1"/>
                <w:sz w:val="22"/>
                <w:szCs w:val="22"/>
              </w:rPr>
              <w:t>ex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8"/>
                <w:w w:val="94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4"/>
                <w:position w:val="1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4"/>
                <w:position w:val="1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4"/>
                <w:w w:val="94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position w:val="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 xml:space="preserve">mplimiento 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r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t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8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y</w:t>
            </w:r>
            <w:r w:rsidRPr="00C05636">
              <w:rPr>
                <w:rFonts w:eastAsia="Arial"/>
                <w:spacing w:val="-14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4"/>
                <w:w w:val="9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0"/>
                <w:position w:val="1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12"/>
                <w:w w:val="9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ent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fica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0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me</w:t>
            </w:r>
            <w:r w:rsidRPr="00C05636">
              <w:rPr>
                <w:rFonts w:eastAsia="Arial"/>
                <w:spacing w:val="-2"/>
                <w:w w:val="94"/>
                <w:position w:val="1"/>
                <w:sz w:val="22"/>
                <w:szCs w:val="22"/>
              </w:rPr>
              <w:t>j</w:t>
            </w:r>
            <w:r w:rsidRPr="00C05636">
              <w:rPr>
                <w:rFonts w:eastAsia="Arial"/>
                <w:spacing w:val="1"/>
                <w:w w:val="94"/>
                <w:position w:val="1"/>
                <w:sz w:val="22"/>
                <w:szCs w:val="22"/>
              </w:rPr>
              <w:t>ora</w:t>
            </w:r>
            <w:r w:rsidRPr="00C05636">
              <w:rPr>
                <w:rFonts w:eastAsia="Arial"/>
                <w:w w:val="94"/>
                <w:position w:val="1"/>
                <w:sz w:val="22"/>
                <w:szCs w:val="22"/>
              </w:rPr>
              <w:t>s</w:t>
            </w:r>
            <w:r w:rsidRPr="00C05636">
              <w:rPr>
                <w:rFonts w:eastAsia="Arial"/>
                <w:spacing w:val="-2"/>
                <w:w w:val="94"/>
                <w:position w:val="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position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position w:val="1"/>
                <w:sz w:val="22"/>
                <w:szCs w:val="22"/>
              </w:rPr>
              <w:t xml:space="preserve">l </w:t>
            </w:r>
            <w:r w:rsidRPr="00C05636">
              <w:rPr>
                <w:rFonts w:eastAsia="Arial"/>
                <w:w w:val="95"/>
                <w:position w:val="-2"/>
                <w:sz w:val="22"/>
                <w:szCs w:val="22"/>
              </w:rPr>
              <w:t>mi</w:t>
            </w:r>
            <w:r w:rsidRPr="00C05636">
              <w:rPr>
                <w:rFonts w:eastAsia="Arial"/>
                <w:spacing w:val="1"/>
                <w:w w:val="95"/>
                <w:position w:val="-2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101"/>
                <w:position w:val="-2"/>
                <w:sz w:val="22"/>
                <w:szCs w:val="22"/>
              </w:rPr>
              <w:t>m</w:t>
            </w:r>
            <w:r w:rsidRPr="00C05636">
              <w:rPr>
                <w:rFonts w:eastAsia="Arial"/>
                <w:spacing w:val="1"/>
                <w:w w:val="101"/>
                <w:position w:val="-2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position w:val="-2"/>
                <w:sz w:val="22"/>
                <w:szCs w:val="22"/>
              </w:rPr>
              <w:t>.</w:t>
            </w:r>
          </w:p>
        </w:tc>
      </w:tr>
      <w:tr w:rsidR="001F4EA7" w:rsidRPr="00C05636" w:rsidTr="008E317E">
        <w:trPr>
          <w:gridAfter w:val="1"/>
          <w:wAfter w:w="104" w:type="dxa"/>
          <w:trHeight w:hRule="exact" w:val="787"/>
          <w:jc w:val="center"/>
        </w:trPr>
        <w:tc>
          <w:tcPr>
            <w:tcW w:w="567" w:type="dxa"/>
            <w:tcBorders>
              <w:top w:val="single" w:sz="8" w:space="0" w:color="000000"/>
              <w:left w:val="single" w:sz="14" w:space="0" w:color="000000"/>
              <w:bottom w:val="single" w:sz="14" w:space="0" w:color="000000"/>
              <w:right w:val="single" w:sz="8" w:space="0" w:color="000000"/>
            </w:tcBorders>
            <w:vAlign w:val="center"/>
          </w:tcPr>
          <w:p w:rsidR="001F4EA7" w:rsidRPr="00C05636" w:rsidRDefault="001F4EA7" w:rsidP="00C05636">
            <w:pPr>
              <w:jc w:val="center"/>
              <w:rPr>
                <w:sz w:val="22"/>
                <w:szCs w:val="22"/>
              </w:rPr>
            </w:pPr>
          </w:p>
          <w:p w:rsidR="001F4EA7" w:rsidRPr="00C05636" w:rsidRDefault="001F4EA7" w:rsidP="00C05636">
            <w:pPr>
              <w:ind w:right="727"/>
              <w:jc w:val="center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5</w:t>
            </w:r>
          </w:p>
        </w:tc>
        <w:tc>
          <w:tcPr>
            <w:tcW w:w="1683" w:type="dxa"/>
            <w:tcBorders>
              <w:top w:val="single" w:sz="8" w:space="0" w:color="000000"/>
              <w:left w:val="single" w:sz="8" w:space="0" w:color="000000"/>
              <w:bottom w:val="single" w:sz="14" w:space="0" w:color="000000"/>
              <w:right w:val="single" w:sz="8" w:space="0" w:color="000000"/>
            </w:tcBorders>
          </w:tcPr>
          <w:p w:rsidR="001F4EA7" w:rsidRPr="00C05636" w:rsidRDefault="001F4EA7" w:rsidP="00C05636">
            <w:pPr>
              <w:rPr>
                <w:sz w:val="22"/>
                <w:szCs w:val="22"/>
              </w:rPr>
            </w:pPr>
          </w:p>
          <w:p w:rsidR="001F4EA7" w:rsidRPr="00C05636" w:rsidRDefault="001F4EA7" w:rsidP="00C05636">
            <w:pPr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ud</w:t>
            </w:r>
            <w:r w:rsidRPr="00C05636">
              <w:rPr>
                <w:rFonts w:eastAsia="Arial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tad</w:t>
            </w:r>
            <w:r w:rsidRPr="00C05636">
              <w:rPr>
                <w:rFonts w:eastAsia="Arial"/>
                <w:sz w:val="22"/>
                <w:szCs w:val="22"/>
              </w:rPr>
              <w:t>o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14" w:space="0" w:color="000000"/>
              <w:right w:val="single" w:sz="14" w:space="0" w:color="000000"/>
            </w:tcBorders>
            <w:vAlign w:val="center"/>
          </w:tcPr>
          <w:p w:rsidR="001F4EA7" w:rsidRPr="00C05636" w:rsidRDefault="001F4EA7" w:rsidP="00C05636">
            <w:pPr>
              <w:ind w:left="23" w:right="416"/>
              <w:rPr>
                <w:rFonts w:eastAsia="Arial"/>
                <w:sz w:val="22"/>
                <w:szCs w:val="22"/>
              </w:rPr>
            </w:pPr>
            <w:r w:rsidRPr="00C05636">
              <w:rPr>
                <w:rFonts w:eastAsia="Arial"/>
                <w:w w:val="90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4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efe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0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29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8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qu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1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1"/>
                <w:sz w:val="22"/>
                <w:szCs w:val="22"/>
              </w:rPr>
              <w:t>tá</w:t>
            </w:r>
            <w:r w:rsidRPr="00C05636">
              <w:rPr>
                <w:rFonts w:eastAsia="Arial"/>
                <w:spacing w:val="-3"/>
                <w:w w:val="91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3"/>
                <w:sz w:val="22"/>
                <w:szCs w:val="22"/>
              </w:rPr>
              <w:t>eñ</w:t>
            </w:r>
            <w:r w:rsidRPr="00C05636">
              <w:rPr>
                <w:rFonts w:eastAsia="Arial"/>
                <w:spacing w:val="1"/>
                <w:w w:val="93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"/>
                <w:w w:val="9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98"/>
                <w:sz w:val="22"/>
                <w:szCs w:val="22"/>
              </w:rPr>
              <w:t>ment</w:t>
            </w:r>
            <w:r w:rsidRPr="00C05636">
              <w:rPr>
                <w:rFonts w:eastAsia="Arial"/>
                <w:spacing w:val="1"/>
                <w:w w:val="98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ap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r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b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ex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te</w:t>
            </w:r>
            <w:r w:rsidRPr="00C05636">
              <w:rPr>
                <w:rFonts w:eastAsia="Arial"/>
                <w:spacing w:val="-8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en</w:t>
            </w:r>
            <w:r w:rsidRPr="00C05636">
              <w:rPr>
                <w:rFonts w:eastAsia="Arial"/>
                <w:spacing w:val="-1"/>
                <w:w w:val="94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ia</w:t>
            </w:r>
            <w:r w:rsidRPr="00C05636">
              <w:rPr>
                <w:rFonts w:eastAsia="Arial"/>
                <w:spacing w:val="4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-1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 xml:space="preserve">mplimiento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q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88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11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115"/>
                <w:sz w:val="22"/>
                <w:szCs w:val="22"/>
              </w:rPr>
              <w:t>t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,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4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h</w:t>
            </w:r>
            <w:r w:rsidRPr="00C05636">
              <w:rPr>
                <w:rFonts w:eastAsia="Arial"/>
                <w:spacing w:val="1"/>
                <w:w w:val="90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0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12"/>
                <w:w w:val="9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ent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i</w:t>
            </w:r>
            <w:r w:rsidRPr="00C05636">
              <w:rPr>
                <w:rFonts w:eastAsia="Arial"/>
                <w:sz w:val="22"/>
                <w:szCs w:val="22"/>
              </w:rPr>
              <w:t>fica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me</w:t>
            </w:r>
            <w:r w:rsidRPr="00C05636">
              <w:rPr>
                <w:rFonts w:eastAsia="Arial"/>
                <w:spacing w:val="-2"/>
                <w:w w:val="94"/>
                <w:sz w:val="22"/>
                <w:szCs w:val="22"/>
              </w:rPr>
              <w:t>j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ora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s</w:t>
            </w:r>
            <w:r w:rsidRPr="00C05636">
              <w:rPr>
                <w:rFonts w:eastAsia="Arial"/>
                <w:spacing w:val="-2"/>
                <w:w w:val="9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a</w:t>
            </w:r>
            <w:r w:rsidRPr="00C05636">
              <w:rPr>
                <w:rFonts w:eastAsia="Arial"/>
                <w:sz w:val="22"/>
                <w:szCs w:val="22"/>
              </w:rPr>
              <w:t xml:space="preserve">l 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mi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mo</w:t>
            </w:r>
            <w:r w:rsidRPr="00C05636">
              <w:rPr>
                <w:rFonts w:eastAsia="Arial"/>
                <w:spacing w:val="-4"/>
                <w:w w:val="9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z w:val="22"/>
                <w:szCs w:val="22"/>
              </w:rPr>
              <w:t>y</w:t>
            </w:r>
            <w:r w:rsidRPr="00C05636">
              <w:rPr>
                <w:rFonts w:eastAsia="Arial"/>
                <w:spacing w:val="-14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ha</w:t>
            </w:r>
            <w:r w:rsidRPr="00C05636">
              <w:rPr>
                <w:rFonts w:eastAsia="Arial"/>
                <w:spacing w:val="-10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4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80"/>
                <w:sz w:val="22"/>
                <w:szCs w:val="22"/>
              </w:rPr>
              <w:t>s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w w:val="102"/>
                <w:sz w:val="22"/>
                <w:szCs w:val="22"/>
              </w:rPr>
              <w:t>meti</w:t>
            </w:r>
            <w:r w:rsidRPr="00C05636">
              <w:rPr>
                <w:rFonts w:eastAsia="Arial"/>
                <w:spacing w:val="1"/>
                <w:w w:val="102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88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5"/>
                <w:w w:val="88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u</w:t>
            </w:r>
            <w:r w:rsidRPr="00C05636">
              <w:rPr>
                <w:rFonts w:eastAsia="Arial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-10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p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ro</w:t>
            </w:r>
            <w:r w:rsidRPr="00C05636">
              <w:rPr>
                <w:rFonts w:eastAsia="Arial"/>
                <w:spacing w:val="-1"/>
                <w:w w:val="95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5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5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-7"/>
                <w:w w:val="95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-1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v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e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if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-1"/>
                <w:w w:val="96"/>
                <w:sz w:val="22"/>
                <w:szCs w:val="22"/>
              </w:rPr>
              <w:t>c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-1"/>
                <w:w w:val="96"/>
                <w:sz w:val="22"/>
                <w:szCs w:val="22"/>
              </w:rPr>
              <w:t>c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6"/>
                <w:sz w:val="22"/>
                <w:szCs w:val="22"/>
              </w:rPr>
              <w:t>ó</w:t>
            </w:r>
            <w:r w:rsidRPr="00C05636">
              <w:rPr>
                <w:rFonts w:eastAsia="Arial"/>
                <w:w w:val="96"/>
                <w:sz w:val="22"/>
                <w:szCs w:val="22"/>
              </w:rPr>
              <w:t>n</w:t>
            </w:r>
            <w:r w:rsidRPr="00C05636">
              <w:rPr>
                <w:rFonts w:eastAsia="Arial"/>
                <w:spacing w:val="-1"/>
                <w:w w:val="96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d</w:t>
            </w:r>
            <w:r w:rsidRPr="00C05636">
              <w:rPr>
                <w:rFonts w:eastAsia="Arial"/>
                <w:sz w:val="22"/>
                <w:szCs w:val="22"/>
              </w:rPr>
              <w:t>el</w:t>
            </w:r>
            <w:r w:rsidRPr="00C05636">
              <w:rPr>
                <w:rFonts w:eastAsia="Arial"/>
                <w:spacing w:val="-13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mi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s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mo</w:t>
            </w:r>
            <w:r w:rsidRPr="00C05636">
              <w:rPr>
                <w:rFonts w:eastAsia="Arial"/>
                <w:spacing w:val="-4"/>
                <w:w w:val="9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me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97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97"/>
                <w:sz w:val="22"/>
                <w:szCs w:val="22"/>
              </w:rPr>
              <w:t>nte</w:t>
            </w:r>
            <w:r w:rsidRPr="00C05636">
              <w:rPr>
                <w:rFonts w:eastAsia="Arial"/>
                <w:spacing w:val="2"/>
                <w:w w:val="97"/>
                <w:sz w:val="22"/>
                <w:szCs w:val="22"/>
              </w:rPr>
              <w:t xml:space="preserve"> </w:t>
            </w:r>
            <w:r w:rsidRPr="00C05636">
              <w:rPr>
                <w:rFonts w:eastAsia="Arial"/>
                <w:w w:val="94"/>
                <w:sz w:val="22"/>
                <w:szCs w:val="22"/>
              </w:rPr>
              <w:t>a</w:t>
            </w:r>
            <w:r w:rsidRPr="00C05636">
              <w:rPr>
                <w:rFonts w:eastAsia="Arial"/>
                <w:spacing w:val="1"/>
                <w:w w:val="94"/>
                <w:sz w:val="22"/>
                <w:szCs w:val="22"/>
              </w:rPr>
              <w:t>u</w:t>
            </w:r>
            <w:r w:rsidRPr="00C05636">
              <w:rPr>
                <w:rFonts w:eastAsia="Arial"/>
                <w:spacing w:val="1"/>
                <w:w w:val="103"/>
                <w:sz w:val="22"/>
                <w:szCs w:val="22"/>
              </w:rPr>
              <w:t>d</w:t>
            </w:r>
            <w:r w:rsidRPr="00C05636">
              <w:rPr>
                <w:rFonts w:eastAsia="Arial"/>
                <w:w w:val="115"/>
                <w:sz w:val="22"/>
                <w:szCs w:val="22"/>
              </w:rPr>
              <w:t>i</w:t>
            </w:r>
            <w:r w:rsidRPr="00C05636">
              <w:rPr>
                <w:rFonts w:eastAsia="Arial"/>
                <w:spacing w:val="1"/>
                <w:w w:val="115"/>
                <w:sz w:val="22"/>
                <w:szCs w:val="22"/>
              </w:rPr>
              <w:t>t</w:t>
            </w:r>
            <w:r w:rsidRPr="00C05636">
              <w:rPr>
                <w:rFonts w:eastAsia="Arial"/>
                <w:spacing w:val="1"/>
                <w:sz w:val="22"/>
                <w:szCs w:val="22"/>
              </w:rPr>
              <w:t>o</w:t>
            </w:r>
            <w:r w:rsidRPr="00C05636">
              <w:rPr>
                <w:rFonts w:eastAsia="Arial"/>
                <w:spacing w:val="1"/>
                <w:w w:val="99"/>
                <w:sz w:val="22"/>
                <w:szCs w:val="22"/>
              </w:rPr>
              <w:t>r</w:t>
            </w:r>
            <w:r w:rsidRPr="00C05636">
              <w:rPr>
                <w:rFonts w:eastAsia="Arial"/>
                <w:w w:val="87"/>
                <w:sz w:val="22"/>
                <w:szCs w:val="22"/>
              </w:rPr>
              <w:t>í</w:t>
            </w:r>
            <w:r w:rsidRPr="00C05636">
              <w:rPr>
                <w:rFonts w:eastAsia="Arial"/>
                <w:spacing w:val="1"/>
                <w:w w:val="87"/>
                <w:sz w:val="22"/>
                <w:szCs w:val="22"/>
              </w:rPr>
              <w:t>a</w:t>
            </w:r>
            <w:r w:rsidRPr="00C05636">
              <w:rPr>
                <w:rFonts w:eastAsia="Arial"/>
                <w:w w:val="75"/>
                <w:sz w:val="22"/>
                <w:szCs w:val="22"/>
              </w:rPr>
              <w:t>.</w:t>
            </w:r>
          </w:p>
        </w:tc>
      </w:tr>
    </w:tbl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649EC" w:rsidRPr="00D62BC2" w:rsidRDefault="002A5BCA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>
        <w:rPr>
          <w:rFonts w:asciiTheme="minorHAnsi" w:hAnsiTheme="minorHAnsi" w:cstheme="minorHAnsi"/>
          <w:b/>
          <w:color w:val="000000" w:themeColor="text1"/>
          <w:sz w:val="22"/>
          <w:szCs w:val="22"/>
        </w:rPr>
        <w:t>RESULTADO</w:t>
      </w:r>
      <w:r w:rsidR="00601BAD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S</w:t>
      </w:r>
      <w:r w:rsidR="00F649EC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ACUERDOS Y COMPROMISOS Y PROTOCOLOS ETICOS: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PREGUNTA 1.</w:t>
      </w:r>
      <w:r w:rsidR="00112E51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 </w:t>
      </w:r>
      <w:r w:rsidR="00D236D5" w:rsidRPr="002A5BCA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¿Existe un documento con los principios y valores éticos de la entidad?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C05636" w:rsidRDefault="001F4EA7" w:rsidP="00C05636">
      <w:pPr>
        <w:pStyle w:val="Prrafodelista"/>
        <w:jc w:val="center"/>
        <w:rPr>
          <w:rFonts w:cstheme="minorHAnsi"/>
        </w:rPr>
      </w:pPr>
      <w:r w:rsidRPr="00D62BC2">
        <w:rPr>
          <w:rFonts w:cstheme="minorHAnsi"/>
          <w:noProof/>
          <w:lang w:eastAsia="es-CO"/>
        </w:rPr>
        <w:drawing>
          <wp:inline distT="0" distB="0" distL="0" distR="0" wp14:anchorId="676C6981" wp14:editId="45185B1F">
            <wp:extent cx="3914775" cy="1914525"/>
            <wp:effectExtent l="0" t="0" r="9525" b="9525"/>
            <wp:docPr id="54" name="Gráfico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F4EA7" w:rsidRPr="00C05636" w:rsidRDefault="001F4EA7" w:rsidP="001C1511">
      <w:pPr>
        <w:jc w:val="both"/>
        <w:rPr>
          <w:rFonts w:cstheme="minorHAnsi"/>
          <w:b/>
          <w:color w:val="000000" w:themeColor="text1"/>
        </w:rPr>
      </w:pPr>
      <w:r w:rsidRPr="00C05636">
        <w:rPr>
          <w:rFonts w:cstheme="minorHAnsi"/>
        </w:rPr>
        <w:t>El Banco Inmobiliario de Floridablanca - BIF cuenta con un documento de acuerdos, compromisos y protocolos éticos el cual se encuentra implementado, socializado en un alto porcentaje y actualizado, conocido por todos y se encuentra publicado e</w:t>
      </w:r>
      <w:r w:rsidR="00D236D5" w:rsidRPr="00C05636">
        <w:rPr>
          <w:rFonts w:cstheme="minorHAnsi"/>
        </w:rPr>
        <w:t xml:space="preserve">n la página web de la entidad, </w:t>
      </w:r>
      <w:r w:rsidRPr="00C05636">
        <w:rPr>
          <w:rFonts w:cstheme="minorHAnsi"/>
        </w:rPr>
        <w:t>por lo que se considera que cumple con este elemento.</w:t>
      </w:r>
    </w:p>
    <w:p w:rsidR="001F4EA7" w:rsidRPr="00D62BC2" w:rsidRDefault="001F4EA7" w:rsidP="001C1511">
      <w:pPr>
        <w:tabs>
          <w:tab w:val="left" w:pos="1395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C1511">
      <w:pPr>
        <w:tabs>
          <w:tab w:val="left" w:pos="1395"/>
        </w:tabs>
        <w:jc w:val="both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</w:t>
      </w:r>
      <w:r w:rsidR="00C05636">
        <w:rPr>
          <w:rFonts w:asciiTheme="minorHAnsi" w:hAnsiTheme="minorHAnsi" w:cstheme="minorHAnsi"/>
          <w:b/>
          <w:sz w:val="22"/>
          <w:szCs w:val="22"/>
        </w:rPr>
        <w:t>.</w:t>
      </w:r>
      <w:r w:rsidRPr="00D62BC2">
        <w:rPr>
          <w:rFonts w:asciiTheme="minorHAnsi" w:hAnsiTheme="minorHAnsi" w:cstheme="minorHAnsi"/>
          <w:b/>
          <w:sz w:val="22"/>
          <w:szCs w:val="22"/>
        </w:rPr>
        <w:t xml:space="preserve"> 2</w:t>
      </w:r>
      <w:r w:rsidR="00601BAD">
        <w:rPr>
          <w:rFonts w:asciiTheme="minorHAnsi" w:hAnsiTheme="minorHAnsi" w:cstheme="minorHAnsi"/>
          <w:b/>
          <w:sz w:val="22"/>
          <w:szCs w:val="22"/>
        </w:rPr>
        <w:t xml:space="preserve">: </w:t>
      </w:r>
      <w:r w:rsidR="00C05636">
        <w:rPr>
          <w:rFonts w:asciiTheme="minorHAnsi" w:hAnsiTheme="minorHAnsi" w:cstheme="minorHAnsi"/>
          <w:b/>
          <w:sz w:val="22"/>
          <w:szCs w:val="22"/>
        </w:rPr>
        <w:t>existe</w:t>
      </w:r>
      <w:r w:rsidR="00C05636" w:rsidRPr="00601BAD">
        <w:rPr>
          <w:rFonts w:asciiTheme="minorHAnsi" w:hAnsiTheme="minorHAnsi" w:cstheme="minorHAnsi"/>
          <w:b/>
          <w:sz w:val="22"/>
          <w:szCs w:val="22"/>
        </w:rPr>
        <w:t xml:space="preserve"> un acto administrativo que </w:t>
      </w:r>
      <w:r w:rsidR="00C05636">
        <w:rPr>
          <w:rFonts w:asciiTheme="minorHAnsi" w:hAnsiTheme="minorHAnsi" w:cstheme="minorHAnsi"/>
          <w:b/>
          <w:sz w:val="22"/>
          <w:szCs w:val="22"/>
        </w:rPr>
        <w:t xml:space="preserve">adopta el documento con </w:t>
      </w:r>
      <w:r w:rsidR="00C05636" w:rsidRPr="00601BAD">
        <w:rPr>
          <w:rFonts w:asciiTheme="minorHAnsi" w:hAnsiTheme="minorHAnsi" w:cstheme="minorHAnsi"/>
          <w:b/>
          <w:sz w:val="22"/>
          <w:szCs w:val="22"/>
        </w:rPr>
        <w:t>los principios y valores de la entidad?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26C8542" wp14:editId="28411C61">
            <wp:extent cx="4371975" cy="1962150"/>
            <wp:effectExtent l="0" t="0" r="9525" b="0"/>
            <wp:docPr id="55" name="Gráfico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83497C" w:rsidRDefault="001F4EA7" w:rsidP="001F4EA7">
      <w:pPr>
        <w:jc w:val="both"/>
        <w:rPr>
          <w:rFonts w:cstheme="minorHAnsi"/>
        </w:rPr>
      </w:pPr>
      <w:r w:rsidRPr="0083497C">
        <w:rPr>
          <w:rFonts w:cstheme="minorHAnsi"/>
        </w:rPr>
        <w:lastRenderedPageBreak/>
        <w:t>El Banco Inmobiliario de Floridablanca - BIF cuenta con un acto administrativo (resolución) por medio del cual se adopta los acuerdos, compromisos y protocolos éticos, se encuentra implementado y actualizado; conocido por todos y se encuentra publicado e</w:t>
      </w:r>
      <w:r w:rsidR="00801CBB">
        <w:rPr>
          <w:rFonts w:cstheme="minorHAnsi"/>
        </w:rPr>
        <w:t xml:space="preserve">n la página web de la entidad, </w:t>
      </w:r>
      <w:r w:rsidRPr="0083497C">
        <w:rPr>
          <w:rFonts w:cstheme="minorHAnsi"/>
        </w:rPr>
        <w:t>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4D55CC" w:rsidRPr="004D55CC" w:rsidRDefault="001F4EA7" w:rsidP="004D55CC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  <w:lang w:val="es-CO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PREGUNTA 3. </w:t>
      </w:r>
      <w:r w:rsidR="004D55CC">
        <w:rPr>
          <w:rFonts w:asciiTheme="minorHAnsi" w:hAnsiTheme="minorHAnsi" w:cstheme="minorHAnsi"/>
          <w:b/>
          <w:color w:val="000000" w:themeColor="text1"/>
          <w:sz w:val="22"/>
          <w:szCs w:val="22"/>
          <w:lang w:val="es-CO"/>
        </w:rPr>
        <w:t xml:space="preserve">Existen estrategias </w:t>
      </w:r>
      <w:r w:rsidR="001C1511">
        <w:rPr>
          <w:rFonts w:asciiTheme="minorHAnsi" w:hAnsiTheme="minorHAnsi" w:cstheme="minorHAnsi"/>
          <w:b/>
          <w:color w:val="000000" w:themeColor="text1"/>
          <w:sz w:val="22"/>
          <w:szCs w:val="22"/>
          <w:lang w:val="es-CO"/>
        </w:rPr>
        <w:t xml:space="preserve">de socialización </w:t>
      </w:r>
      <w:r w:rsidR="004D55CC" w:rsidRPr="004D55CC">
        <w:rPr>
          <w:rFonts w:asciiTheme="minorHAnsi" w:hAnsiTheme="minorHAnsi" w:cstheme="minorHAnsi"/>
          <w:b/>
          <w:color w:val="000000" w:themeColor="text1"/>
          <w:sz w:val="22"/>
          <w:szCs w:val="22"/>
          <w:lang w:val="es-CO"/>
        </w:rPr>
        <w:t>permanente de los  principios  y valores de la entidad?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64EA8230" wp14:editId="13915A2F">
            <wp:extent cx="5162550" cy="2400300"/>
            <wp:effectExtent l="0" t="0" r="0" b="0"/>
            <wp:docPr id="56" name="Gráfico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una estrategia de socialización con relación a los acuerdos, compromisos y protocolos éticos, la cual se encuentra implementada y actualizada, es conocida por todos y se encuentra publicada e</w:t>
      </w:r>
      <w:r w:rsidR="007B047F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1.1.2 DESARROLLO DEL TALENTO HUMANO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PREGUNTA  4.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4A3D8262" wp14:editId="34BFC41E">
            <wp:extent cx="5612130" cy="3004820"/>
            <wp:effectExtent l="0" t="0" r="26670" b="24130"/>
            <wp:docPr id="57" name="Gráfico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Manual de Funciones y competencias laborales con relación en el desarrollo del Talento Humano, el cual se encuentra implementado y actualizado, conforme a la ley; es conocido por todos los funcionarios públicos y se encuentra publicado en</w:t>
      </w:r>
      <w:r w:rsidR="001C1511">
        <w:rPr>
          <w:rFonts w:asciiTheme="minorHAnsi" w:hAnsiTheme="minorHAnsi" w:cstheme="minorHAnsi"/>
          <w:sz w:val="22"/>
          <w:szCs w:val="22"/>
        </w:rPr>
        <w:t xml:space="preserve">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 xml:space="preserve">PREGUNTA 5. 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3BD3768F" wp14:editId="3A78269D">
            <wp:extent cx="5612130" cy="3035935"/>
            <wp:effectExtent l="0" t="0" r="26670" b="12065"/>
            <wp:docPr id="58" name="Gráfico 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  <w:lang w:val="es-CO" w:eastAsia="en-US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plan institucional de</w:t>
      </w:r>
      <w:r w:rsidR="001C1511">
        <w:rPr>
          <w:rFonts w:asciiTheme="minorHAnsi" w:hAnsiTheme="minorHAnsi" w:cstheme="minorHAnsi"/>
          <w:sz w:val="22"/>
          <w:szCs w:val="22"/>
        </w:rPr>
        <w:t xml:space="preserve"> formación y capacitación anual</w:t>
      </w:r>
      <w:r w:rsidRPr="00D62BC2">
        <w:rPr>
          <w:rFonts w:asciiTheme="minorHAnsi" w:hAnsiTheme="minorHAnsi" w:cstheme="minorHAnsi"/>
          <w:sz w:val="22"/>
          <w:szCs w:val="22"/>
        </w:rPr>
        <w:t xml:space="preserve"> con relación a las necesidades de los servidores públicos, el cual se encuentra adoptado, acorde a las necesidades de la Entidad,  es conocido por todos y se encuentra publicado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  <w:lang w:val="es-CO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  <w:lang w:val="es-CO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PREGUNTA 6.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2E6E26A2" wp14:editId="52CCE746">
            <wp:extent cx="5612130" cy="3225165"/>
            <wp:effectExtent l="0" t="0" r="26670" b="13335"/>
            <wp:docPr id="59" name="Gráfico 5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- BIF cuenta con un Programa de inducción y reinducción para empleados con relación al desarrollo del talento humano, el cual se encuentra implementado y actualizado, es conocido por todos y se encuentra publicado en </w:t>
      </w:r>
      <w:r w:rsidR="001C1511">
        <w:rPr>
          <w:rFonts w:asciiTheme="minorHAnsi" w:hAnsiTheme="minorHAnsi" w:cstheme="minorHAnsi"/>
          <w:sz w:val="22"/>
          <w:szCs w:val="22"/>
        </w:rPr>
        <w:t xml:space="preserve">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C1511" w:rsidRDefault="001C1511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C1511" w:rsidRDefault="001C1511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C1511" w:rsidRPr="00D62BC2" w:rsidRDefault="001C1511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PREGUNTA  7.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9D13AC7" wp14:editId="0AC8AFAD">
            <wp:extent cx="4572000" cy="2743200"/>
            <wp:effectExtent l="0" t="0" r="19050" b="19050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Programa Anual de bienestar, conforme a la ley, el cual se encuentra implementado como se puede observar en la gráfica, es conocido por todos y se encuentra publicado e</w:t>
      </w:r>
      <w:r w:rsidR="001C1511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t>PREGUNTA  8.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00828FC" wp14:editId="64191AAB">
            <wp:extent cx="4572000" cy="2743200"/>
            <wp:effectExtent l="0" t="0" r="19050" b="19050"/>
            <wp:docPr id="9" name="Gráfico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plan de incentivos anual  con relación al desarrollo del talento humano, el cual se encuentra implementado y actualizado, conforme a la ley, es conocido por todos y se encuentra publicado en la página web de la entidad,  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color w:val="000000" w:themeColor="text1"/>
          <w:sz w:val="22"/>
          <w:szCs w:val="22"/>
        </w:rPr>
        <w:lastRenderedPageBreak/>
        <w:t>PREGUNTA  9.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32210B22" wp14:editId="38B4D83E">
            <wp:extent cx="4572000" cy="2743200"/>
            <wp:effectExtent l="0" t="0" r="19050" b="19050"/>
            <wp:docPr id="14" name="Gráfico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una evaluación de desempeño con relación al desarrollo del talento humano, el cual se encuentra implementado conforme a la ley y es auditado, conocido por todos y se encuentra publicado en la página web de la entidad,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1.2 DIRECCIONAMIENTO ESTRATEGICO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Prrafodelista"/>
        <w:numPr>
          <w:ilvl w:val="2"/>
          <w:numId w:val="21"/>
        </w:numPr>
        <w:tabs>
          <w:tab w:val="left" w:pos="900"/>
        </w:tabs>
        <w:ind w:left="360"/>
        <w:rPr>
          <w:rFonts w:cstheme="minorHAnsi"/>
        </w:rPr>
      </w:pPr>
      <w:r w:rsidRPr="00D62BC2">
        <w:rPr>
          <w:rFonts w:eastAsia="Times New Roman" w:cstheme="minorHAnsi"/>
          <w:lang w:val="es-ES_tradnl" w:eastAsia="es-ES"/>
        </w:rPr>
        <w:t>PLANES, PROGRAMAS Y PROYECTOS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10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0CD8818B" wp14:editId="68EE5BC1">
            <wp:extent cx="4572000" cy="2743200"/>
            <wp:effectExtent l="0" t="0" r="19050" b="19050"/>
            <wp:docPr id="15" name="Gráfico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tiene los planes de la entidad integrados con las políticas del Sistema de Gestión de la calidad con relación a los Planes, Programas y Proyectos, los cuales se encuentran implementados y actualizados, son conocido por todos y se encuentran publicados e</w:t>
      </w:r>
      <w:r w:rsidR="00963736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11.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B42E60A" wp14:editId="707FC8D3">
            <wp:extent cx="5612130" cy="2608580"/>
            <wp:effectExtent l="0" t="0" r="26670" b="20320"/>
            <wp:docPr id="16" name="Gráfico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adopto la misión y visión institucional mediante Acto Administrativo a nivel interno y externo con relación a los Planes, Programas y Proyectos, las cual se encuentra implementadas y actuali</w:t>
      </w:r>
      <w:r w:rsidR="00963736">
        <w:rPr>
          <w:rFonts w:asciiTheme="minorHAnsi" w:hAnsiTheme="minorHAnsi" w:cstheme="minorHAnsi"/>
          <w:sz w:val="22"/>
          <w:szCs w:val="22"/>
        </w:rPr>
        <w:t xml:space="preserve">zadas, son conocidas por todos </w:t>
      </w:r>
      <w:r w:rsidRPr="00D62BC2">
        <w:rPr>
          <w:rFonts w:asciiTheme="minorHAnsi" w:hAnsiTheme="minorHAnsi" w:cstheme="minorHAnsi"/>
          <w:sz w:val="22"/>
          <w:szCs w:val="22"/>
        </w:rPr>
        <w:t>y se encuentran publicadas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12.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71483385" wp14:editId="79ED72AB">
            <wp:extent cx="4572000" cy="2743200"/>
            <wp:effectExtent l="0" t="0" r="19050" b="19050"/>
            <wp:docPr id="17" name="Gráfico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el cumplimiento de los objetivos institucionales como parte integral de la planeación de la entidad con relación a los Planes, Programas y Proyectos, los cuales se encuentran implementados y actualizados, son conocido por todos y se encuentran publicados e</w:t>
      </w:r>
      <w:r w:rsidR="00963736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Pr="00D62BC2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13.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255505FB" wp14:editId="49D32B66">
            <wp:extent cx="5153025" cy="2719388"/>
            <wp:effectExtent l="0" t="0" r="9525" b="24130"/>
            <wp:docPr id="18" name="Gráfico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- BIF cuenta con Planes de Acción Anuales que definen las metas a cumplir con respeto al Plan de Desarrollo </w:t>
      </w:r>
      <w:r w:rsidR="00963736">
        <w:rPr>
          <w:rFonts w:asciiTheme="minorHAnsi" w:hAnsiTheme="minorHAnsi" w:cstheme="minorHAnsi"/>
          <w:sz w:val="22"/>
          <w:szCs w:val="22"/>
        </w:rPr>
        <w:t xml:space="preserve">y Planes Anuales </w:t>
      </w:r>
      <w:proofErr w:type="spellStart"/>
      <w:r w:rsidR="00963736">
        <w:rPr>
          <w:rFonts w:asciiTheme="minorHAnsi" w:hAnsiTheme="minorHAnsi" w:cstheme="minorHAnsi"/>
          <w:sz w:val="22"/>
          <w:szCs w:val="22"/>
        </w:rPr>
        <w:t>Mensualizados</w:t>
      </w:r>
      <w:proofErr w:type="spellEnd"/>
      <w:r w:rsidR="00963736">
        <w:rPr>
          <w:rFonts w:asciiTheme="minorHAnsi" w:hAnsiTheme="minorHAnsi" w:cstheme="minorHAnsi"/>
          <w:sz w:val="22"/>
          <w:szCs w:val="22"/>
        </w:rPr>
        <w:t xml:space="preserve"> </w:t>
      </w:r>
      <w:r w:rsidRPr="00D62BC2">
        <w:rPr>
          <w:rFonts w:asciiTheme="minorHAnsi" w:hAnsiTheme="minorHAnsi" w:cstheme="minorHAnsi"/>
          <w:sz w:val="22"/>
          <w:szCs w:val="22"/>
        </w:rPr>
        <w:t>de Caja (PAC) con relación a los Planes, Programas y Proyectos, los cuales se encuentran implementados y actualizados, son conocido por todos y se encuentran publicados en la página web de la entidad, por lo que se considera que cumple con este elemento.</w:t>
      </w:r>
    </w:p>
    <w:p w:rsidR="001F4EA7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Pr="00D62BC2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1.2.2 MODELO DE OPERACIÓN POR PROCESOS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14.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4534D141" wp14:editId="164C855B">
            <wp:extent cx="4572000" cy="2743200"/>
            <wp:effectExtent l="0" t="0" r="19050" b="19050"/>
            <wp:docPr id="19" name="Gráfico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mapa de procesos con relación a los modelo de operación por procesos,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sz w:val="22"/>
          <w:szCs w:val="22"/>
          <w:lang w:val="es-CO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sz w:val="22"/>
          <w:szCs w:val="22"/>
          <w:lang w:val="es-CO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sz w:val="22"/>
          <w:szCs w:val="22"/>
          <w:lang w:val="es-CO"/>
        </w:rPr>
      </w:pPr>
    </w:p>
    <w:p w:rsidR="00963736" w:rsidRPr="00D62BC2" w:rsidRDefault="00963736" w:rsidP="001F4EA7">
      <w:pPr>
        <w:tabs>
          <w:tab w:val="left" w:pos="1395"/>
        </w:tabs>
        <w:rPr>
          <w:rFonts w:asciiTheme="minorHAnsi" w:hAnsiTheme="minorHAnsi" w:cstheme="minorHAnsi"/>
          <w:sz w:val="22"/>
          <w:szCs w:val="22"/>
          <w:lang w:val="es-CO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15.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0A4A644" wp14:editId="178B26A5">
            <wp:extent cx="5391151" cy="2743200"/>
            <wp:effectExtent l="0" t="0" r="19050" b="19050"/>
            <wp:docPr id="20" name="Gráfico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aplica instrumentos, herramientas, eventos de difusión y demás con relación a los modelo</w:t>
      </w:r>
      <w:r w:rsidR="008A213D">
        <w:rPr>
          <w:rFonts w:asciiTheme="minorHAnsi" w:hAnsiTheme="minorHAnsi" w:cstheme="minorHAnsi"/>
          <w:sz w:val="22"/>
          <w:szCs w:val="22"/>
        </w:rPr>
        <w:t>s</w:t>
      </w:r>
      <w:r w:rsidRPr="00D62BC2">
        <w:rPr>
          <w:rFonts w:asciiTheme="minorHAnsi" w:hAnsiTheme="minorHAnsi" w:cstheme="minorHAnsi"/>
          <w:sz w:val="22"/>
          <w:szCs w:val="22"/>
        </w:rPr>
        <w:t xml:space="preserve"> de operación por procesos, los cuales se encuentran implementados y actualizados, son conocido por todos y se encuentran publicados e</w:t>
      </w:r>
      <w:r w:rsidR="008A213D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963736" w:rsidRPr="00D62BC2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16.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056344C" wp14:editId="162135D5">
            <wp:extent cx="4572000" cy="2743200"/>
            <wp:effectExtent l="0" t="0" r="19050" b="19050"/>
            <wp:docPr id="21" name="Gráfico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procedimientos que le permiten evaluar la satisfacción del cliente con relación a los modelo de operación por procesos,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Prrafodelista"/>
        <w:numPr>
          <w:ilvl w:val="2"/>
          <w:numId w:val="22"/>
        </w:numPr>
        <w:tabs>
          <w:tab w:val="left" w:pos="900"/>
        </w:tabs>
        <w:rPr>
          <w:rFonts w:cstheme="minorHAnsi"/>
        </w:rPr>
      </w:pPr>
      <w:r w:rsidRPr="00D62BC2">
        <w:rPr>
          <w:rFonts w:cstheme="minorHAnsi"/>
        </w:rPr>
        <w:t>ESTRUCTURA ORGANIZACIONAL</w:t>
      </w: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lastRenderedPageBreak/>
        <w:t>PREGUNTA 17.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31AE747" wp14:editId="0A27396E">
            <wp:extent cx="4572000" cy="2743200"/>
            <wp:effectExtent l="0" t="0" r="19050" b="19050"/>
            <wp:docPr id="22" name="Gráfico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6A427D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una estructura flexible con relación a la estructura organizacional los cuales se encuentran implementados y actualizados, es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1.2.4 INDICADORES DE GESTION</w:t>
      </w: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963736" w:rsidRPr="00D62BC2" w:rsidRDefault="00963736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18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DD2F200" wp14:editId="409AB6F4">
            <wp:extent cx="4572000" cy="2743200"/>
            <wp:effectExtent l="0" t="0" r="19050" b="19050"/>
            <wp:docPr id="23" name="Gráfico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indicadores de eficiencia, eficacia y efectividad con relación a los indicadores de gestión, los cuales se encuentran implementados y actualizados, son conocidos por todos y se encuentran publicados en la página web de la entidad,  por lo que se considera que cumple con este elemento.</w:t>
      </w:r>
    </w:p>
    <w:p w:rsidR="001F4EA7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Pr="00D62BC2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19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0A697706" wp14:editId="0B07E67E">
            <wp:extent cx="4572000" cy="2743200"/>
            <wp:effectExtent l="0" t="0" r="19050" b="19050"/>
            <wp:docPr id="24" name="Gráfico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– BIF y como se puede observar en la gráfica, los funcionarios encuestados informaron que al cien por ciento cuenta con indicadores por procesos con relación a los indicadores de gestión, los cuales se encuentran implementados y actualizados, son conocido por todos y se encuentran publicados e</w:t>
      </w:r>
      <w:r w:rsidR="00963736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20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492223EC" wp14:editId="3DC8FEC2">
            <wp:extent cx="4572000" cy="2743200"/>
            <wp:effectExtent l="0" t="0" r="19050" b="19050"/>
            <wp:docPr id="25" name="Gráfico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fichas de indicadores con relación a los indicadores de gestión, los cuales se encuentran implementados y actualizados, son conocidos por todos y se encuentran publicados e</w:t>
      </w:r>
      <w:r w:rsidR="00963736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963736" w:rsidRPr="00D62BC2" w:rsidRDefault="00963736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21.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62E23323" wp14:editId="1AD0BDAD">
            <wp:extent cx="4572000" cy="2743200"/>
            <wp:effectExtent l="0" t="0" r="19050" b="19050"/>
            <wp:docPr id="26" name="Gráfico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seguimientos de los indicadores con relación a los indicadores de gestión, los cuales se encuentran implementados y actualizados, son conocido por todos y se encuentran publicados en la página web de la e</w:t>
      </w:r>
      <w:r w:rsidR="00963736">
        <w:rPr>
          <w:rFonts w:asciiTheme="minorHAnsi" w:hAnsiTheme="minorHAnsi" w:cstheme="minorHAnsi"/>
          <w:sz w:val="22"/>
          <w:szCs w:val="22"/>
        </w:rPr>
        <w:t>ntidad,</w:t>
      </w:r>
      <w:r w:rsidRPr="00D62BC2">
        <w:rPr>
          <w:rFonts w:asciiTheme="minorHAnsi" w:hAnsiTheme="minorHAnsi" w:cstheme="minorHAnsi"/>
          <w:sz w:val="22"/>
          <w:szCs w:val="22"/>
        </w:rPr>
        <w:t xml:space="preserve"> 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22.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5096845" wp14:editId="64F1F169">
            <wp:extent cx="4572000" cy="2743200"/>
            <wp:effectExtent l="0" t="0" r="19050" b="19050"/>
            <wp:docPr id="27" name="Gráfico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estableció políticas de operación con relación a las políticas de operación, los cuales se encuentran implementados y actualizados, son conocido por todos y se encuentran publicados e</w:t>
      </w:r>
      <w:r w:rsidR="00963736">
        <w:rPr>
          <w:rFonts w:asciiTheme="minorHAnsi" w:hAnsiTheme="minorHAnsi" w:cstheme="minorHAnsi"/>
          <w:sz w:val="22"/>
          <w:szCs w:val="22"/>
        </w:rPr>
        <w:t xml:space="preserve">n la página web de la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963736" w:rsidRDefault="00963736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  <w:lang w:val="es-CO" w:eastAsia="en-US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23</w:t>
      </w:r>
      <w:r w:rsidRPr="00D62BC2">
        <w:rPr>
          <w:rFonts w:asciiTheme="minorHAnsi" w:hAnsiTheme="minorHAnsi" w:cstheme="minorHAnsi"/>
          <w:sz w:val="22"/>
          <w:szCs w:val="22"/>
          <w:lang w:val="es-CO" w:eastAsia="en-US"/>
        </w:rPr>
        <w:t xml:space="preserve"> 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  <w:lang w:val="es-CO" w:eastAsia="en-US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30C73AE3" wp14:editId="662AE5F6">
            <wp:extent cx="4572000" cy="2743200"/>
            <wp:effectExtent l="0" t="0" r="19050" b="19050"/>
            <wp:docPr id="28" name="Gráfico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emitió actos administrativos para adoptar el manual de operaciones con relación a las políticas de operación, los cuales se encuentran implementados y actualizados, son conocido por todos y se encuentran publicados en la página web de la entidad, 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pStyle w:val="Prrafodelista"/>
        <w:numPr>
          <w:ilvl w:val="1"/>
          <w:numId w:val="22"/>
        </w:numPr>
        <w:tabs>
          <w:tab w:val="left" w:pos="900"/>
        </w:tabs>
        <w:rPr>
          <w:rFonts w:cstheme="minorHAnsi"/>
        </w:rPr>
      </w:pPr>
      <w:r w:rsidRPr="00D62BC2">
        <w:rPr>
          <w:rFonts w:cstheme="minorHAnsi"/>
        </w:rPr>
        <w:t>ADMINISTRACION DEL RIESGO</w:t>
      </w:r>
    </w:p>
    <w:p w:rsidR="001F4EA7" w:rsidRPr="00D62BC2" w:rsidRDefault="001F4EA7" w:rsidP="001F4EA7">
      <w:pPr>
        <w:tabs>
          <w:tab w:val="left" w:pos="900"/>
        </w:tabs>
        <w:ind w:left="360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1.3.1 POLITICAS DE ADMINISTRACION DEL RIESGO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24.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6C503DC" wp14:editId="1F31BB35">
            <wp:extent cx="4572000" cy="2743200"/>
            <wp:effectExtent l="0" t="0" r="19050" b="19050"/>
            <wp:docPr id="29" name="Gráfico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  <w:lang w:val="es-CO" w:eastAsia="en-US"/>
        </w:rPr>
        <w:t xml:space="preserve"> </w:t>
      </w: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emitió actos administrativos para adoptar las políticas para el manejo de los riesgos con relación a las políticas de administración del riesgo,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lastRenderedPageBreak/>
        <w:t>PREGUNTA 25.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1E7A124" wp14:editId="3E1DC775">
            <wp:extent cx="5612130" cy="2443480"/>
            <wp:effectExtent l="0" t="0" r="26670" b="13970"/>
            <wp:docPr id="30" name="Gráfico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divulgo el mapa de riesgos y sus políticas con relación a las políticas de operación, los cuales se encuentran implementados y actualizados, es conocido por todos y se encuentran publicados en la página web de l</w:t>
      </w:r>
      <w:r w:rsidR="00963736">
        <w:rPr>
          <w:rFonts w:asciiTheme="minorHAnsi" w:hAnsiTheme="minorHAnsi" w:cstheme="minorHAnsi"/>
          <w:sz w:val="22"/>
          <w:szCs w:val="22"/>
        </w:rPr>
        <w:t xml:space="preserve">a entidad, </w:t>
      </w:r>
      <w:r w:rsidRPr="00D62BC2">
        <w:rPr>
          <w:rFonts w:asciiTheme="minorHAnsi" w:hAnsiTheme="minorHAnsi" w:cstheme="minorHAnsi"/>
          <w:sz w:val="22"/>
          <w:szCs w:val="22"/>
        </w:rPr>
        <w:t>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963736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1.3.2 </w:t>
      </w:r>
      <w:r w:rsidR="001F4EA7" w:rsidRPr="00D62BC2">
        <w:rPr>
          <w:rFonts w:asciiTheme="minorHAnsi" w:hAnsiTheme="minorHAnsi" w:cstheme="minorHAnsi"/>
          <w:sz w:val="22"/>
          <w:szCs w:val="22"/>
        </w:rPr>
        <w:t>IDENTIFICACION DEL RIESGO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26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779A421" wp14:editId="309A4A8D">
            <wp:extent cx="4572000" cy="2743200"/>
            <wp:effectExtent l="0" t="0" r="19050" b="19050"/>
            <wp:docPr id="31" name="Gráfico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identifico los factores internos y externos del riesgo con relación a la identificación del riesgo,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71B6F" w:rsidRPr="00D62BC2" w:rsidRDefault="00F71B6F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27</w:t>
      </w: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2A2ABE6B" wp14:editId="44D7D561">
            <wp:extent cx="4572000" cy="2743200"/>
            <wp:effectExtent l="0" t="0" r="19050" b="19050"/>
            <wp:docPr id="32" name="Gráfico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identifico los riesgos por procesos con relación a la identificación del riesgo,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28</w:t>
      </w: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2721C128" wp14:editId="54FBE9FB">
            <wp:extent cx="5612130" cy="2387600"/>
            <wp:effectExtent l="0" t="0" r="26670" b="12700"/>
            <wp:docPr id="33" name="Gráfico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documento de análisis del riesgo con relación a la identificación del riesgo,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71B6F" w:rsidRPr="00D62BC2" w:rsidRDefault="00F71B6F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29.</w:t>
      </w:r>
    </w:p>
    <w:p w:rsidR="001F4EA7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F4C22D7" wp14:editId="06E17816">
            <wp:extent cx="4572000" cy="2743200"/>
            <wp:effectExtent l="0" t="0" r="19050" b="19050"/>
            <wp:docPr id="34" name="Gráfico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mapa de gestión del riesgo institucional con relación a la identificación del riesgo,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  <w:lang w:val="es-US"/>
        </w:rPr>
      </w:pPr>
      <w:r w:rsidRPr="00D62BC2">
        <w:rPr>
          <w:rFonts w:asciiTheme="minorHAnsi" w:hAnsiTheme="minorHAnsi" w:cstheme="minorHAnsi"/>
          <w:sz w:val="22"/>
          <w:szCs w:val="22"/>
          <w:lang w:val="es-US"/>
        </w:rPr>
        <w:t>2.1 AUTOEVALUACION INSTITUCIONAL</w:t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  <w:lang w:val="es-US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2.1.1 AUTOEVALUACION DEL CONTROL Y GESTION</w:t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30</w:t>
      </w: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2C89FA3" wp14:editId="35A0FA2C">
            <wp:extent cx="4572000" cy="2743200"/>
            <wp:effectExtent l="0" t="0" r="19050" b="19050"/>
            <wp:docPr id="35" name="Gráfico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– BIF y como se puede observar en la gráfica, el cien por ciento de los funcionarios encuestados informan que se realizaron actividades de sensibilización a los servidores con relación a la autoevaluación del control y gestión, los cuales se encuentran </w:t>
      </w:r>
      <w:r w:rsidRPr="00D62BC2">
        <w:rPr>
          <w:rFonts w:asciiTheme="minorHAnsi" w:hAnsiTheme="minorHAnsi" w:cstheme="minorHAnsi"/>
          <w:sz w:val="22"/>
          <w:szCs w:val="22"/>
        </w:rPr>
        <w:lastRenderedPageBreak/>
        <w:t>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31.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7BAA282C" wp14:editId="49D4170C">
            <wp:extent cx="4572000" cy="2743200"/>
            <wp:effectExtent l="0" t="0" r="19050" b="19050"/>
            <wp:docPr id="36" name="Gráfico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recopilo información para la autoevaluación de la gestión con relación a la autoevaluación del control y gestión, los cuales se encuentran implementados y actualizados, son conocidos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32.</w:t>
      </w: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6884F2F6" wp14:editId="4F69ABC5">
            <wp:extent cx="4572000" cy="2743200"/>
            <wp:effectExtent l="0" t="0" r="19050" b="19050"/>
            <wp:docPr id="37" name="Gráfico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- BIF cuenta con la capacidad de alimentar el proceso de autoevaluación con relación a la autoevaluación del control y gestión, los cuales se encuentran </w:t>
      </w:r>
      <w:r w:rsidRPr="00D62BC2">
        <w:rPr>
          <w:rFonts w:asciiTheme="minorHAnsi" w:hAnsiTheme="minorHAnsi" w:cstheme="minorHAnsi"/>
          <w:sz w:val="22"/>
          <w:szCs w:val="22"/>
        </w:rPr>
        <w:lastRenderedPageBreak/>
        <w:t>implementados y actualizados, son conocido por todos y se encuentran publicados en la página web de la entidad,  por lo que se considera que cumple con este elemento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33.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23EF8DB1" wp14:editId="381B9312">
            <wp:extent cx="4572000" cy="2743200"/>
            <wp:effectExtent l="0" t="0" r="19050" b="19050"/>
            <wp:docPr id="38" name="Gráfico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estableció el programa de auditorías con relación a la autoevaluación del control y gestión, los cuales se encuentran implementados y actualizados, son conocidos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34.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4E5F63A" wp14:editId="5523DCFF">
            <wp:extent cx="5612130" cy="2302510"/>
            <wp:effectExtent l="0" t="0" r="26670" b="21590"/>
            <wp:docPr id="39" name="Gráfico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el informe anual de control interno con relación a la autoevaluación del control y gestión, los cuales se encuentran implementados y actualizados, son conocidos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2.3 PLANES DE MEJORAMIENTO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2.3.1 PLAN DE MEJORAMIENTO</w:t>
      </w:r>
    </w:p>
    <w:p w:rsidR="00FA09E3" w:rsidRDefault="00FA09E3" w:rsidP="001F4EA7">
      <w:pPr>
        <w:rPr>
          <w:rFonts w:asciiTheme="minorHAnsi" w:hAnsiTheme="minorHAnsi" w:cstheme="minorHAnsi"/>
          <w:sz w:val="22"/>
          <w:szCs w:val="22"/>
        </w:rPr>
      </w:pPr>
    </w:p>
    <w:p w:rsidR="00FA09E3" w:rsidRPr="00D62BC2" w:rsidRDefault="00FA09E3" w:rsidP="001F4EA7">
      <w:pPr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35.</w:t>
      </w: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BE1F8E1" wp14:editId="0715AC34">
            <wp:extent cx="4572000" cy="2743200"/>
            <wp:effectExtent l="0" t="0" r="19050" b="19050"/>
            <wp:docPr id="40" name="Gráfico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las herramientas de evaluación para la elaboración del plan de mejoramiento con relación al plan de mejoramiento,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900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36.</w:t>
      </w: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657BFFE9" wp14:editId="61157040">
            <wp:extent cx="5457825" cy="2743200"/>
            <wp:effectExtent l="0" t="0" r="9525" b="19050"/>
            <wp:docPr id="41" name="Gráfico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procesos o mecanismos  para el análisis generados en el desarrollo del componente de auditoria interna con relación al plan de mejoramiento,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37.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0E802297" wp14:editId="64BBBE70">
            <wp:extent cx="5612130" cy="2953385"/>
            <wp:effectExtent l="0" t="0" r="26670" b="18415"/>
            <wp:docPr id="42" name="Gráfico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la documentación de los procesos que permite realizar seguimientos a las acciones emprendidas con relación al plan de mejoramiento,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38.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185C8C0" wp14:editId="54731D1B">
            <wp:extent cx="4572000" cy="2743200"/>
            <wp:effectExtent l="0" t="0" r="19050" b="19050"/>
            <wp:docPr id="43" name="Gráfico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mecanismos para el seguimiento y evaluación de las acciones definidas en los planes de mejoramiento con relación al plan de mejoramiento,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Pr="00D62BC2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lastRenderedPageBreak/>
        <w:t>NA- INFORMACION Y COMUNICACIÓN INTERNA Y EXTERNA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39.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F3066DA" wp14:editId="5EE6B56D">
            <wp:extent cx="4572000" cy="2743200"/>
            <wp:effectExtent l="0" t="0" r="19050" b="19050"/>
            <wp:docPr id="44" name="Gráfico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mecanismos para identificarla información externa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40.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3CAF694" wp14:editId="2C627FC2">
            <wp:extent cx="5612130" cy="2380615"/>
            <wp:effectExtent l="0" t="0" r="26670" b="19685"/>
            <wp:docPr id="45" name="Gráfico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fuentes internas de información que permite consultar toda la documentación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FA09E3" w:rsidRPr="00D62BC2" w:rsidRDefault="00FA09E3" w:rsidP="001F4EA7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41.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9CBEFD8" wp14:editId="7FBD1E69">
            <wp:extent cx="5343525" cy="2743200"/>
            <wp:effectExtent l="0" t="0" r="9525" b="19050"/>
            <wp:docPr id="46" name="Gráfico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- BIF realizo rendición de cuentas con la intervención de grupos de interés, veedurías y ciudadanía donde se </w:t>
      </w:r>
      <w:proofErr w:type="spellStart"/>
      <w:r w:rsidRPr="00D62BC2">
        <w:rPr>
          <w:rFonts w:asciiTheme="minorHAnsi" w:hAnsiTheme="minorHAnsi" w:cstheme="minorHAnsi"/>
          <w:sz w:val="22"/>
          <w:szCs w:val="22"/>
        </w:rPr>
        <w:t>comunico</w:t>
      </w:r>
      <w:proofErr w:type="spellEnd"/>
      <w:r w:rsidRPr="00D62BC2">
        <w:rPr>
          <w:rFonts w:asciiTheme="minorHAnsi" w:hAnsiTheme="minorHAnsi" w:cstheme="minorHAnsi"/>
          <w:sz w:val="22"/>
          <w:szCs w:val="22"/>
        </w:rPr>
        <w:t xml:space="preserve"> la información de distintos temas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42.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1544A665" wp14:editId="05B03B19">
            <wp:extent cx="4572000" cy="2743200"/>
            <wp:effectExtent l="0" t="0" r="19050" b="19050"/>
            <wp:docPr id="47" name="Gráfico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tiene establecidas las tablas de retención documental de acuerdo a la ley 594 de 2000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Pr="00D62BC2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 xml:space="preserve">PREGUNTA 43. 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4D7EFB8" wp14:editId="7B14442D">
            <wp:extent cx="5612130" cy="2716530"/>
            <wp:effectExtent l="0" t="0" r="26670" b="26670"/>
            <wp:docPr id="48" name="Gráfico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una política, proceso o procedimiento de comunicación con los usuarios internos y externos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44.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5388667C" wp14:editId="32D091DE">
            <wp:extent cx="4572000" cy="2743200"/>
            <wp:effectExtent l="0" t="0" r="19050" b="19050"/>
            <wp:docPr id="49" name="Gráfico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manejo organizado o sistematizado de la correspondencia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FA09E3" w:rsidRPr="00D62BC2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45.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0678BDEE" wp14:editId="611B037D">
            <wp:extent cx="4572000" cy="2743200"/>
            <wp:effectExtent l="0" t="0" r="19050" b="19050"/>
            <wp:docPr id="51" name="Gráfico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manejo organizado o sistematizado de los recursos físicos, humanos, financieros y tecnológicos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46.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6461BCCE" wp14:editId="14952858">
            <wp:extent cx="4572000" cy="2743200"/>
            <wp:effectExtent l="0" t="0" r="19050" b="19050"/>
            <wp:docPr id="52" name="Gráfico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 xml:space="preserve">El Banco Inmobiliario de Floridablanca – BIF, ha diseñado e implementados mecanismos de consulta con distintos grupos de interés para obtener información sobre necesidades y prioridades en la prestación del servicio, son conocidos por todos y se encuentran publicados </w:t>
      </w:r>
      <w:r w:rsidR="0006611F">
        <w:rPr>
          <w:rFonts w:asciiTheme="minorHAnsi" w:hAnsiTheme="minorHAnsi" w:cstheme="minorHAnsi"/>
          <w:sz w:val="22"/>
          <w:szCs w:val="22"/>
        </w:rPr>
        <w:t>en la página web de la entidad,</w:t>
      </w:r>
      <w:r w:rsidRPr="00D62BC2">
        <w:rPr>
          <w:rFonts w:asciiTheme="minorHAnsi" w:hAnsiTheme="minorHAnsi" w:cstheme="minorHAnsi"/>
          <w:sz w:val="22"/>
          <w:szCs w:val="22"/>
        </w:rPr>
        <w:t xml:space="preserve"> por lo que se considera que cumple con este elemento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FA09E3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FA09E3" w:rsidRPr="00D62BC2" w:rsidRDefault="00FA09E3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PREGUNTA 47.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jc w:val="center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noProof/>
          <w:sz w:val="22"/>
          <w:szCs w:val="22"/>
          <w:lang w:val="es-CO" w:eastAsia="es-CO"/>
        </w:rPr>
        <w:drawing>
          <wp:inline distT="0" distB="0" distL="0" distR="0" wp14:anchorId="393974F6" wp14:editId="6C48D5A9">
            <wp:extent cx="4572000" cy="2743200"/>
            <wp:effectExtent l="0" t="0" r="19050" b="19050"/>
            <wp:docPr id="53" name="Gráfico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bookmarkStart w:id="0" w:name="_GoBack"/>
      <w:bookmarkEnd w:id="0"/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- BIF cuenta con un acceso a la información de la organización como página web, carteleras, buzón entre otros con relación a la información y comunicación interna y externa, los cuales se encuentran implementados y actualizados, son conocido por todos y se encuentran publicados en la página web de la entidad,  por lo que se considera que cumple con este elemento.</w:t>
      </w:r>
    </w:p>
    <w:p w:rsidR="001F4EA7" w:rsidRPr="00D62BC2" w:rsidRDefault="001F4EA7" w:rsidP="001F4EA7">
      <w:pPr>
        <w:tabs>
          <w:tab w:val="left" w:pos="1395"/>
        </w:tabs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b/>
          <w:sz w:val="22"/>
          <w:szCs w:val="22"/>
          <w:lang w:val="es-US"/>
        </w:rPr>
      </w:pPr>
      <w:r w:rsidRPr="00D62BC2">
        <w:rPr>
          <w:rFonts w:asciiTheme="minorHAnsi" w:hAnsiTheme="minorHAnsi" w:cstheme="minorHAnsi"/>
          <w:b/>
          <w:sz w:val="22"/>
          <w:szCs w:val="22"/>
          <w:lang w:val="es-US"/>
        </w:rPr>
        <w:t>ANALISIS</w:t>
      </w: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  <w:lang w:val="es-US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modelo en general se encuentra implementado y auditado, es decir maduro y se recomienda mantenerlo actualizado.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after="0" w:afterAutospacing="0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ESTADO GENERAL DEL SISTEMA DE CONTROL INTERNO</w:t>
      </w:r>
    </w:p>
    <w:p w:rsidR="001F4EA7" w:rsidRPr="00D62BC2" w:rsidRDefault="001F4EA7" w:rsidP="001F4EA7">
      <w:pPr>
        <w:pStyle w:val="NormalWeb"/>
        <w:numPr>
          <w:ilvl w:val="0"/>
          <w:numId w:val="25"/>
        </w:numPr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El Banco Inmobiliario de Floridablanca – BIF, ha demostrado una elevación porcentual en el puntaje del Modelo Estándar de Control Interno - MECI,  tomando en cuenta los datos de los resultados anteriores, se puede afirmar y asegurar que el estado actual del sistema de control interno ha mejorado satisfactoriamente, puesto que  se  ha dado cumplimiento.</w:t>
      </w:r>
    </w:p>
    <w:p w:rsidR="001F4EA7" w:rsidRPr="00D62BC2" w:rsidRDefault="001F4EA7" w:rsidP="001F4EA7">
      <w:pPr>
        <w:pStyle w:val="NormalWeb"/>
        <w:spacing w:before="0" w:beforeAutospacing="0" w:after="0" w:afterAutospacing="0"/>
        <w:ind w:left="36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numPr>
          <w:ilvl w:val="0"/>
          <w:numId w:val="25"/>
        </w:numPr>
        <w:spacing w:before="0" w:beforeAutospacing="0"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Continuar con la autoevaluación y mejoramiento continuo del Modelo Estándar de Control Interno, así como la posibilidad de implementar el sistema de gestión de la Calidad a los procesos y procedimientos, en aras de la obtención de la certificación.</w:t>
      </w:r>
    </w:p>
    <w:p w:rsidR="001F4EA7" w:rsidRPr="00D62BC2" w:rsidRDefault="001F4EA7" w:rsidP="001F4EA7">
      <w:pPr>
        <w:pStyle w:val="NormalWeb"/>
        <w:spacing w:before="0" w:beforeAutospacing="0" w:after="0" w:afterAutospacing="0"/>
        <w:ind w:left="36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color w:val="000000"/>
          <w:sz w:val="22"/>
          <w:szCs w:val="22"/>
        </w:rPr>
      </w:pPr>
    </w:p>
    <w:p w:rsidR="001F4EA7" w:rsidRPr="00D62BC2" w:rsidRDefault="001F4EA7" w:rsidP="001F4EA7">
      <w:pPr>
        <w:pStyle w:val="NormalWeb"/>
        <w:numPr>
          <w:ilvl w:val="0"/>
          <w:numId w:val="25"/>
        </w:numPr>
        <w:spacing w:before="0" w:beforeAutospacing="0"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Incluir en el programa de inducción y reinducción actividades sobre el Modelo Estándar de Control Interno - MECI, con el objetivo de resaltar su importancia para la orientación hacia el cumplimiento de los objetivos institucionales y la contribución de estos a los fines esenciales del estado.</w:t>
      </w:r>
    </w:p>
    <w:p w:rsidR="001F4EA7" w:rsidRPr="00D62BC2" w:rsidRDefault="001F4EA7" w:rsidP="001F4EA7">
      <w:pPr>
        <w:rPr>
          <w:rFonts w:asciiTheme="minorHAnsi" w:hAnsiTheme="minorHAnsi" w:cstheme="minorHAnsi"/>
          <w:color w:val="000000"/>
          <w:sz w:val="22"/>
          <w:szCs w:val="22"/>
        </w:rPr>
      </w:pPr>
    </w:p>
    <w:p w:rsidR="001F4EA7" w:rsidRPr="00D62BC2" w:rsidRDefault="001F4EA7" w:rsidP="001F4EA7">
      <w:pPr>
        <w:rPr>
          <w:rFonts w:asciiTheme="minorHAnsi" w:hAnsiTheme="minorHAnsi" w:cstheme="minorHAnsi"/>
          <w:color w:val="000000"/>
          <w:sz w:val="22"/>
          <w:szCs w:val="22"/>
        </w:rPr>
      </w:pPr>
    </w:p>
    <w:p w:rsidR="001F4EA7" w:rsidRPr="00D62BC2" w:rsidRDefault="001F4EA7" w:rsidP="001F4EA7">
      <w:pPr>
        <w:pStyle w:val="NormalWeb"/>
        <w:numPr>
          <w:ilvl w:val="0"/>
          <w:numId w:val="25"/>
        </w:numPr>
        <w:spacing w:before="0" w:beforeAutospacing="0"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Se recomienda, mantener al personal capacitado y actualizado de los procesos competentes a su área, seguir con auditorias tipo MECI, para retroalimentar el Modelo Estándar de Control Interno.</w:t>
      </w:r>
    </w:p>
    <w:p w:rsidR="001F4EA7" w:rsidRPr="00D62BC2" w:rsidRDefault="001F4EA7" w:rsidP="001F4EA7">
      <w:pPr>
        <w:pStyle w:val="NormalWeb"/>
        <w:spacing w:before="0" w:beforeAutospacing="0" w:after="0" w:after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lastRenderedPageBreak/>
        <w:t xml:space="preserve">Este informe es preparado y presentado por la oficina de control interno del Banco Inmobiliario de Floridablanca - BIF, en Floridablanca, el día </w:t>
      </w:r>
      <w:r>
        <w:rPr>
          <w:rFonts w:asciiTheme="minorHAnsi" w:hAnsiTheme="minorHAnsi" w:cstheme="minorHAnsi"/>
          <w:sz w:val="22"/>
          <w:szCs w:val="22"/>
        </w:rPr>
        <w:t>seis</w:t>
      </w:r>
      <w:r w:rsidRPr="00D62BC2">
        <w:rPr>
          <w:rFonts w:asciiTheme="minorHAnsi" w:hAnsiTheme="minorHAnsi" w:cstheme="minorHAnsi"/>
          <w:sz w:val="22"/>
          <w:szCs w:val="22"/>
        </w:rPr>
        <w:t xml:space="preserve"> (6) </w:t>
      </w:r>
      <w:r>
        <w:rPr>
          <w:rFonts w:asciiTheme="minorHAnsi" w:hAnsiTheme="minorHAnsi" w:cstheme="minorHAnsi"/>
          <w:sz w:val="22"/>
          <w:szCs w:val="22"/>
        </w:rPr>
        <w:t>de octubre</w:t>
      </w:r>
      <w:r w:rsidRPr="00D62BC2">
        <w:rPr>
          <w:rFonts w:asciiTheme="minorHAnsi" w:hAnsiTheme="minorHAnsi" w:cstheme="minorHAnsi"/>
          <w:sz w:val="22"/>
          <w:szCs w:val="22"/>
        </w:rPr>
        <w:t xml:space="preserve"> de 201</w:t>
      </w:r>
      <w:r>
        <w:rPr>
          <w:rFonts w:asciiTheme="minorHAnsi" w:hAnsiTheme="minorHAnsi" w:cstheme="minorHAnsi"/>
          <w:sz w:val="22"/>
          <w:szCs w:val="22"/>
        </w:rPr>
        <w:t>7</w:t>
      </w:r>
      <w:r w:rsidRPr="00D62BC2">
        <w:rPr>
          <w:rFonts w:asciiTheme="minorHAnsi" w:hAnsiTheme="minorHAnsi" w:cstheme="minorHAnsi"/>
          <w:sz w:val="22"/>
          <w:szCs w:val="22"/>
        </w:rPr>
        <w:t xml:space="preserve"> y se publica a partir de la fecha en la página Web de la entidad, de conformidad a lo establecido en la Ley 1474 de 2011. Y se deja constancia de su publicación en la cartelera del Banco Inmobiliario de Floridablanca - BIF.</w:t>
      </w: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  <w:r w:rsidRPr="00D62BC2">
        <w:rPr>
          <w:rFonts w:asciiTheme="minorHAnsi" w:hAnsiTheme="minorHAnsi" w:cstheme="minorHAnsi"/>
          <w:sz w:val="22"/>
          <w:szCs w:val="22"/>
        </w:rPr>
        <w:t>Cordialmente;</w:t>
      </w: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after="0" w:afterAutospacing="0"/>
        <w:jc w:val="both"/>
        <w:rPr>
          <w:rFonts w:asciiTheme="minorHAnsi" w:hAnsiTheme="minorHAnsi" w:cstheme="minorHAnsi"/>
          <w:sz w:val="22"/>
          <w:szCs w:val="22"/>
        </w:rPr>
      </w:pPr>
    </w:p>
    <w:p w:rsidR="001F4EA7" w:rsidRPr="00D62BC2" w:rsidRDefault="001F4EA7" w:rsidP="001F4EA7">
      <w:pPr>
        <w:pStyle w:val="NormalWeb"/>
        <w:spacing w:before="0" w:beforeAutospacing="0" w:after="0" w:afterAutospacing="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>SANDRA LUCIA GALVIS ACEVEDO</w:t>
      </w:r>
    </w:p>
    <w:p w:rsidR="001F4EA7" w:rsidRPr="00D62BC2" w:rsidRDefault="001F4EA7" w:rsidP="001F4EA7">
      <w:pPr>
        <w:pStyle w:val="NormalWeb"/>
        <w:spacing w:before="0" w:beforeAutospacing="0" w:after="0" w:afterAutospacing="0"/>
        <w:jc w:val="both"/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  <w:r w:rsidRPr="00D62BC2">
        <w:rPr>
          <w:rFonts w:asciiTheme="minorHAnsi" w:hAnsiTheme="minorHAnsi" w:cstheme="minorHAnsi"/>
          <w:b/>
          <w:sz w:val="22"/>
          <w:szCs w:val="22"/>
        </w:rPr>
        <w:t xml:space="preserve">Profe. Especializado </w:t>
      </w:r>
      <w:r>
        <w:rPr>
          <w:rFonts w:asciiTheme="minorHAnsi" w:hAnsiTheme="minorHAnsi" w:cstheme="minorHAnsi"/>
          <w:b/>
          <w:sz w:val="22"/>
          <w:szCs w:val="22"/>
        </w:rPr>
        <w:t>Control Interno</w:t>
      </w: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1F4EA7" w:rsidRPr="00D62BC2" w:rsidRDefault="001F4EA7" w:rsidP="001F4EA7">
      <w:pPr>
        <w:tabs>
          <w:tab w:val="left" w:pos="1395"/>
        </w:tabs>
        <w:rPr>
          <w:rFonts w:asciiTheme="minorHAnsi" w:hAnsiTheme="minorHAnsi" w:cstheme="minorHAnsi"/>
          <w:b/>
          <w:color w:val="000000" w:themeColor="text1"/>
          <w:sz w:val="22"/>
          <w:szCs w:val="22"/>
        </w:rPr>
      </w:pPr>
    </w:p>
    <w:p w:rsidR="007914CC" w:rsidRDefault="007914CC"/>
    <w:sectPr w:rsidR="007914CC" w:rsidSect="001D08C9">
      <w:footerReference w:type="default" r:id="rId62"/>
      <w:pgSz w:w="12242" w:h="18711" w:code="5"/>
      <w:pgMar w:top="1045" w:right="1701" w:bottom="1985" w:left="1701" w:header="0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111F" w:rsidRDefault="00AB111F" w:rsidP="001F4EA7">
      <w:r>
        <w:separator/>
      </w:r>
    </w:p>
  </w:endnote>
  <w:endnote w:type="continuationSeparator" w:id="0">
    <w:p w:rsidR="00AB111F" w:rsidRDefault="00AB111F" w:rsidP="001F4E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390C" w:rsidRDefault="00AB111F">
    <w:pPr>
      <w:pStyle w:val="Piedepgina"/>
    </w:pPr>
  </w:p>
  <w:p w:rsidR="00BF390C" w:rsidRDefault="00AB111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111F" w:rsidRDefault="00AB111F" w:rsidP="001F4EA7">
      <w:r>
        <w:separator/>
      </w:r>
    </w:p>
  </w:footnote>
  <w:footnote w:type="continuationSeparator" w:id="0">
    <w:p w:rsidR="00AB111F" w:rsidRDefault="00AB111F" w:rsidP="001F4E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D77B34"/>
    <w:multiLevelType w:val="hybridMultilevel"/>
    <w:tmpl w:val="9364F316"/>
    <w:lvl w:ilvl="0" w:tplc="240A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C6572CA"/>
    <w:multiLevelType w:val="hybridMultilevel"/>
    <w:tmpl w:val="5F941A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4931E8"/>
    <w:multiLevelType w:val="hybridMultilevel"/>
    <w:tmpl w:val="827C59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AD0180"/>
    <w:multiLevelType w:val="hybridMultilevel"/>
    <w:tmpl w:val="7336732C"/>
    <w:lvl w:ilvl="0" w:tplc="0C0A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F07BD2"/>
    <w:multiLevelType w:val="hybridMultilevel"/>
    <w:tmpl w:val="EC4A76D6"/>
    <w:lvl w:ilvl="0" w:tplc="240A000D">
      <w:start w:val="1"/>
      <w:numFmt w:val="bullet"/>
      <w:lvlText w:val=""/>
      <w:lvlJc w:val="left"/>
      <w:pPr>
        <w:ind w:left="10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5" w15:restartNumberingAfterBreak="0">
    <w:nsid w:val="2EAE7465"/>
    <w:multiLevelType w:val="hybridMultilevel"/>
    <w:tmpl w:val="4C7C90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6D3278"/>
    <w:multiLevelType w:val="multilevel"/>
    <w:tmpl w:val="D2A8FD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33440286"/>
    <w:multiLevelType w:val="hybridMultilevel"/>
    <w:tmpl w:val="63B482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4332CA"/>
    <w:multiLevelType w:val="multilevel"/>
    <w:tmpl w:val="D2A8FD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383B7D81"/>
    <w:multiLevelType w:val="hybridMultilevel"/>
    <w:tmpl w:val="484CF1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D60DB7"/>
    <w:multiLevelType w:val="hybridMultilevel"/>
    <w:tmpl w:val="4C7C90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127798"/>
    <w:multiLevelType w:val="hybridMultilevel"/>
    <w:tmpl w:val="310E59DC"/>
    <w:lvl w:ilvl="0" w:tplc="240A000D">
      <w:start w:val="1"/>
      <w:numFmt w:val="bullet"/>
      <w:lvlText w:val=""/>
      <w:lvlJc w:val="left"/>
      <w:pPr>
        <w:tabs>
          <w:tab w:val="num" w:pos="774"/>
        </w:tabs>
        <w:ind w:left="1068" w:hanging="360"/>
      </w:pPr>
      <w:rPr>
        <w:rFonts w:ascii="Wingdings" w:hAnsi="Wingdings" w:hint="default"/>
      </w:rPr>
    </w:lvl>
    <w:lvl w:ilvl="1" w:tplc="0C0A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51131EC"/>
    <w:multiLevelType w:val="multilevel"/>
    <w:tmpl w:val="D23E47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55AE4507"/>
    <w:multiLevelType w:val="hybridMultilevel"/>
    <w:tmpl w:val="EF368342"/>
    <w:lvl w:ilvl="0" w:tplc="E69212E8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A5131"/>
    <w:multiLevelType w:val="multilevel"/>
    <w:tmpl w:val="20E2DC08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00" w:hanging="5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5" w15:restartNumberingAfterBreak="0">
    <w:nsid w:val="5B397295"/>
    <w:multiLevelType w:val="hybridMultilevel"/>
    <w:tmpl w:val="6A76C1C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952BBF"/>
    <w:multiLevelType w:val="multilevel"/>
    <w:tmpl w:val="C4DA75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7" w15:restartNumberingAfterBreak="0">
    <w:nsid w:val="63697101"/>
    <w:multiLevelType w:val="hybridMultilevel"/>
    <w:tmpl w:val="04B045E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67C36C4C"/>
    <w:multiLevelType w:val="hybridMultilevel"/>
    <w:tmpl w:val="D21C0348"/>
    <w:lvl w:ilvl="0" w:tplc="C9820DEA">
      <w:start w:val="1"/>
      <w:numFmt w:val="bullet"/>
      <w:lvlText w:val=""/>
      <w:lvlJc w:val="left"/>
      <w:pPr>
        <w:tabs>
          <w:tab w:val="num" w:pos="426"/>
        </w:tabs>
        <w:ind w:left="720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732"/>
        </w:tabs>
        <w:ind w:left="732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1452"/>
        </w:tabs>
        <w:ind w:left="1452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172"/>
        </w:tabs>
        <w:ind w:left="2172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2892"/>
        </w:tabs>
        <w:ind w:left="2892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3612"/>
        </w:tabs>
        <w:ind w:left="3612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4332"/>
        </w:tabs>
        <w:ind w:left="4332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052"/>
        </w:tabs>
        <w:ind w:left="5052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5772"/>
        </w:tabs>
        <w:ind w:left="5772" w:hanging="360"/>
      </w:pPr>
      <w:rPr>
        <w:rFonts w:ascii="Wingdings" w:hAnsi="Wingdings" w:hint="default"/>
      </w:rPr>
    </w:lvl>
  </w:abstractNum>
  <w:abstractNum w:abstractNumId="19" w15:restartNumberingAfterBreak="0">
    <w:nsid w:val="6FA67B14"/>
    <w:multiLevelType w:val="hybridMultilevel"/>
    <w:tmpl w:val="0576BE60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74BD40B4"/>
    <w:multiLevelType w:val="hybridMultilevel"/>
    <w:tmpl w:val="F9CC98D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4D277DA"/>
    <w:multiLevelType w:val="multilevel"/>
    <w:tmpl w:val="D2A8FD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2" w15:restartNumberingAfterBreak="0">
    <w:nsid w:val="7693434B"/>
    <w:multiLevelType w:val="hybridMultilevel"/>
    <w:tmpl w:val="04B045E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0"/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</w:num>
  <w:num w:numId="4">
    <w:abstractNumId w:val="5"/>
  </w:num>
  <w:num w:numId="5">
    <w:abstractNumId w:val="2"/>
  </w:num>
  <w:num w:numId="6">
    <w:abstractNumId w:val="9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22"/>
  </w:num>
  <w:num w:numId="12">
    <w:abstractNumId w:val="17"/>
  </w:num>
  <w:num w:numId="13">
    <w:abstractNumId w:val="3"/>
  </w:num>
  <w:num w:numId="14">
    <w:abstractNumId w:val="11"/>
  </w:num>
  <w:num w:numId="15">
    <w:abstractNumId w:val="4"/>
  </w:num>
  <w:num w:numId="16">
    <w:abstractNumId w:val="18"/>
  </w:num>
  <w:num w:numId="17">
    <w:abstractNumId w:val="15"/>
  </w:num>
  <w:num w:numId="18">
    <w:abstractNumId w:val="13"/>
  </w:num>
  <w:num w:numId="19">
    <w:abstractNumId w:val="16"/>
  </w:num>
  <w:num w:numId="20">
    <w:abstractNumId w:val="14"/>
  </w:num>
  <w:num w:numId="21">
    <w:abstractNumId w:val="21"/>
  </w:num>
  <w:num w:numId="22">
    <w:abstractNumId w:val="8"/>
  </w:num>
  <w:num w:numId="23">
    <w:abstractNumId w:val="6"/>
  </w:num>
  <w:num w:numId="24">
    <w:abstractNumId w:val="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4EA7"/>
    <w:rsid w:val="0006611F"/>
    <w:rsid w:val="000E22FF"/>
    <w:rsid w:val="00112E51"/>
    <w:rsid w:val="001C1511"/>
    <w:rsid w:val="001F4EA7"/>
    <w:rsid w:val="002A5BCA"/>
    <w:rsid w:val="004A4A63"/>
    <w:rsid w:val="004D55CC"/>
    <w:rsid w:val="00577B5F"/>
    <w:rsid w:val="00601BAD"/>
    <w:rsid w:val="007914CC"/>
    <w:rsid w:val="007B047F"/>
    <w:rsid w:val="00801CBB"/>
    <w:rsid w:val="0083497C"/>
    <w:rsid w:val="008A213D"/>
    <w:rsid w:val="008E317E"/>
    <w:rsid w:val="00931B4C"/>
    <w:rsid w:val="00963736"/>
    <w:rsid w:val="00A44ACC"/>
    <w:rsid w:val="00AB111F"/>
    <w:rsid w:val="00B12019"/>
    <w:rsid w:val="00C05636"/>
    <w:rsid w:val="00D236D5"/>
    <w:rsid w:val="00D66BC5"/>
    <w:rsid w:val="00F649EC"/>
    <w:rsid w:val="00F71B6F"/>
    <w:rsid w:val="00FA09E3"/>
    <w:rsid w:val="00FF5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6DC4BE4"/>
  <w15:chartTrackingRefBased/>
  <w15:docId w15:val="{94C0D8A7-5F02-4206-A3FE-16078F3EC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1F4EA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s-ES_tradnl" w:eastAsia="es-ES"/>
    </w:rPr>
  </w:style>
  <w:style w:type="paragraph" w:styleId="Ttulo1">
    <w:name w:val="heading 1"/>
    <w:basedOn w:val="Normal"/>
    <w:next w:val="Normal"/>
    <w:link w:val="Ttulo1Car"/>
    <w:qFormat/>
    <w:rsid w:val="001F4EA7"/>
    <w:pPr>
      <w:keepNext/>
      <w:jc w:val="center"/>
      <w:outlineLvl w:val="0"/>
    </w:pPr>
    <w:rPr>
      <w:b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F4EA7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  <w:sz w:val="22"/>
      <w:szCs w:val="22"/>
      <w:lang w:val="es-CO" w:eastAsia="en-US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1F4EA7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1F4EA7"/>
    <w:rPr>
      <w:rFonts w:ascii="Times New Roman" w:eastAsia="Times New Roman" w:hAnsi="Times New Roman" w:cs="Times New Roman"/>
      <w:b/>
      <w:sz w:val="24"/>
      <w:szCs w:val="20"/>
      <w:lang w:val="es-ES_tradnl" w:eastAsia="es-E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F4EA7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8Car">
    <w:name w:val="Título 8 Car"/>
    <w:basedOn w:val="Fuentedeprrafopredeter"/>
    <w:link w:val="Ttulo8"/>
    <w:semiHidden/>
    <w:rsid w:val="001F4EA7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s-ES_tradnl" w:eastAsia="es-ES"/>
    </w:rPr>
  </w:style>
  <w:style w:type="paragraph" w:styleId="Encabezado">
    <w:name w:val="header"/>
    <w:basedOn w:val="Normal"/>
    <w:link w:val="EncabezadoCar"/>
    <w:uiPriority w:val="99"/>
    <w:unhideWhenUsed/>
    <w:rsid w:val="001F4EA7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F4EA7"/>
  </w:style>
  <w:style w:type="paragraph" w:styleId="Piedepgina">
    <w:name w:val="footer"/>
    <w:basedOn w:val="Normal"/>
    <w:link w:val="PiedepginaCar"/>
    <w:uiPriority w:val="99"/>
    <w:unhideWhenUsed/>
    <w:rsid w:val="001F4EA7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F4EA7"/>
  </w:style>
  <w:style w:type="paragraph" w:styleId="Textodeglobo">
    <w:name w:val="Balloon Text"/>
    <w:basedOn w:val="Normal"/>
    <w:link w:val="TextodegloboCar"/>
    <w:uiPriority w:val="99"/>
    <w:semiHidden/>
    <w:unhideWhenUsed/>
    <w:rsid w:val="001F4EA7"/>
    <w:rPr>
      <w:rFonts w:ascii="Tahoma" w:eastAsiaTheme="minorHAnsi" w:hAnsi="Tahoma" w:cs="Tahoma"/>
      <w:sz w:val="16"/>
      <w:szCs w:val="16"/>
      <w:lang w:val="es-CO"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F4EA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1F4E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link w:val="PrrafodelistaCar"/>
    <w:uiPriority w:val="34"/>
    <w:qFormat/>
    <w:rsid w:val="001F4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apple-converted-space">
    <w:name w:val="apple-converted-space"/>
    <w:basedOn w:val="Fuentedeprrafopredeter"/>
    <w:rsid w:val="001F4EA7"/>
  </w:style>
  <w:style w:type="character" w:styleId="Textoennegrita">
    <w:name w:val="Strong"/>
    <w:basedOn w:val="Fuentedeprrafopredeter"/>
    <w:uiPriority w:val="22"/>
    <w:qFormat/>
    <w:rsid w:val="001F4EA7"/>
    <w:rPr>
      <w:b/>
      <w:bCs/>
    </w:rPr>
  </w:style>
  <w:style w:type="character" w:styleId="Nmerodepgina">
    <w:name w:val="page number"/>
    <w:basedOn w:val="Fuentedeprrafopredeter"/>
    <w:rsid w:val="001F4EA7"/>
  </w:style>
  <w:style w:type="character" w:styleId="Nmerodelnea">
    <w:name w:val="line number"/>
    <w:basedOn w:val="Fuentedeprrafopredeter"/>
    <w:uiPriority w:val="99"/>
    <w:semiHidden/>
    <w:unhideWhenUsed/>
    <w:rsid w:val="001F4EA7"/>
  </w:style>
  <w:style w:type="paragraph" w:styleId="Textoindependiente2">
    <w:name w:val="Body Text 2"/>
    <w:basedOn w:val="Normal"/>
    <w:link w:val="Textoindependiente2Car"/>
    <w:rsid w:val="001F4EA7"/>
    <w:pPr>
      <w:jc w:val="both"/>
    </w:pPr>
    <w:rPr>
      <w:sz w:val="32"/>
    </w:rPr>
  </w:style>
  <w:style w:type="character" w:customStyle="1" w:styleId="Textoindependiente2Car">
    <w:name w:val="Texto independiente 2 Car"/>
    <w:basedOn w:val="Fuentedeprrafopredeter"/>
    <w:link w:val="Textoindependiente2"/>
    <w:rsid w:val="001F4EA7"/>
    <w:rPr>
      <w:rFonts w:ascii="Times New Roman" w:eastAsia="Times New Roman" w:hAnsi="Times New Roman" w:cs="Times New Roman"/>
      <w:sz w:val="32"/>
      <w:szCs w:val="20"/>
      <w:lang w:val="es-ES_tradnl" w:eastAsia="es-ES"/>
    </w:rPr>
  </w:style>
  <w:style w:type="paragraph" w:styleId="Textoindependiente3">
    <w:name w:val="Body Text 3"/>
    <w:basedOn w:val="Normal"/>
    <w:link w:val="Textoindependiente3Car"/>
    <w:rsid w:val="001F4EA7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rsid w:val="001F4EA7"/>
    <w:rPr>
      <w:rFonts w:ascii="Times New Roman" w:eastAsia="Times New Roman" w:hAnsi="Times New Roman" w:cs="Times New Roman"/>
      <w:sz w:val="16"/>
      <w:szCs w:val="16"/>
      <w:lang w:val="es-ES_tradnl" w:eastAsia="es-ES"/>
    </w:rPr>
  </w:style>
  <w:style w:type="paragraph" w:styleId="NormalWeb">
    <w:name w:val="Normal (Web)"/>
    <w:basedOn w:val="Normal"/>
    <w:uiPriority w:val="99"/>
    <w:unhideWhenUsed/>
    <w:rsid w:val="001F4EA7"/>
    <w:pPr>
      <w:spacing w:before="100" w:beforeAutospacing="1" w:after="100" w:afterAutospacing="1"/>
    </w:pPr>
    <w:rPr>
      <w:color w:val="000000"/>
      <w:szCs w:val="24"/>
      <w:lang w:val="es-CO" w:eastAsia="es-CO"/>
    </w:rPr>
  </w:style>
  <w:style w:type="paragraph" w:customStyle="1" w:styleId="tc-izq">
    <w:name w:val="tc-izq"/>
    <w:basedOn w:val="Normal"/>
    <w:next w:val="Normal"/>
    <w:rsid w:val="001F4EA7"/>
    <w:pPr>
      <w:keepNext/>
      <w:widowControl w:val="0"/>
      <w:suppressAutoHyphens/>
      <w:spacing w:before="480"/>
      <w:jc w:val="both"/>
    </w:pPr>
    <w:rPr>
      <w:rFonts w:ascii="Arial" w:hAnsi="Arial"/>
      <w:b/>
      <w:caps/>
      <w:snapToGrid w:val="0"/>
      <w:lang w:val="es-ES"/>
    </w:rPr>
  </w:style>
  <w:style w:type="character" w:customStyle="1" w:styleId="PrrafodelistaCar">
    <w:name w:val="Párrafo de lista Car"/>
    <w:link w:val="Prrafodelista"/>
    <w:uiPriority w:val="34"/>
    <w:rsid w:val="001F4E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43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chart" Target="charts/chart4.xml"/><Relationship Id="rId26" Type="http://schemas.openxmlformats.org/officeDocument/2006/relationships/chart" Target="charts/chart12.xml"/><Relationship Id="rId39" Type="http://schemas.openxmlformats.org/officeDocument/2006/relationships/chart" Target="charts/chart25.xml"/><Relationship Id="rId21" Type="http://schemas.openxmlformats.org/officeDocument/2006/relationships/chart" Target="charts/chart7.xml"/><Relationship Id="rId34" Type="http://schemas.openxmlformats.org/officeDocument/2006/relationships/chart" Target="charts/chart20.xml"/><Relationship Id="rId42" Type="http://schemas.openxmlformats.org/officeDocument/2006/relationships/chart" Target="charts/chart28.xml"/><Relationship Id="rId47" Type="http://schemas.openxmlformats.org/officeDocument/2006/relationships/chart" Target="charts/chart33.xml"/><Relationship Id="rId50" Type="http://schemas.openxmlformats.org/officeDocument/2006/relationships/chart" Target="charts/chart36.xml"/><Relationship Id="rId55" Type="http://schemas.openxmlformats.org/officeDocument/2006/relationships/chart" Target="charts/chart41.xml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20" Type="http://schemas.openxmlformats.org/officeDocument/2006/relationships/chart" Target="charts/chart6.xml"/><Relationship Id="rId29" Type="http://schemas.openxmlformats.org/officeDocument/2006/relationships/chart" Target="charts/chart15.xml"/><Relationship Id="rId41" Type="http://schemas.openxmlformats.org/officeDocument/2006/relationships/chart" Target="charts/chart27.xml"/><Relationship Id="rId54" Type="http://schemas.openxmlformats.org/officeDocument/2006/relationships/chart" Target="charts/chart40.xml"/><Relationship Id="rId62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chart" Target="charts/chart10.xml"/><Relationship Id="rId32" Type="http://schemas.openxmlformats.org/officeDocument/2006/relationships/chart" Target="charts/chart18.xml"/><Relationship Id="rId37" Type="http://schemas.openxmlformats.org/officeDocument/2006/relationships/chart" Target="charts/chart23.xml"/><Relationship Id="rId40" Type="http://schemas.openxmlformats.org/officeDocument/2006/relationships/chart" Target="charts/chart26.xml"/><Relationship Id="rId45" Type="http://schemas.openxmlformats.org/officeDocument/2006/relationships/chart" Target="charts/chart31.xml"/><Relationship Id="rId53" Type="http://schemas.openxmlformats.org/officeDocument/2006/relationships/chart" Target="charts/chart39.xml"/><Relationship Id="rId58" Type="http://schemas.openxmlformats.org/officeDocument/2006/relationships/chart" Target="charts/chart44.xml"/><Relationship Id="rId5" Type="http://schemas.openxmlformats.org/officeDocument/2006/relationships/footnotes" Target="footnotes.xml"/><Relationship Id="rId15" Type="http://schemas.openxmlformats.org/officeDocument/2006/relationships/chart" Target="charts/chart1.xml"/><Relationship Id="rId23" Type="http://schemas.openxmlformats.org/officeDocument/2006/relationships/chart" Target="charts/chart9.xml"/><Relationship Id="rId28" Type="http://schemas.openxmlformats.org/officeDocument/2006/relationships/chart" Target="charts/chart14.xml"/><Relationship Id="rId36" Type="http://schemas.openxmlformats.org/officeDocument/2006/relationships/chart" Target="charts/chart22.xml"/><Relationship Id="rId49" Type="http://schemas.openxmlformats.org/officeDocument/2006/relationships/chart" Target="charts/chart35.xml"/><Relationship Id="rId57" Type="http://schemas.openxmlformats.org/officeDocument/2006/relationships/chart" Target="charts/chart43.xml"/><Relationship Id="rId61" Type="http://schemas.openxmlformats.org/officeDocument/2006/relationships/chart" Target="charts/chart47.xml"/><Relationship Id="rId10" Type="http://schemas.openxmlformats.org/officeDocument/2006/relationships/image" Target="media/image4.png"/><Relationship Id="rId19" Type="http://schemas.openxmlformats.org/officeDocument/2006/relationships/chart" Target="charts/chart5.xml"/><Relationship Id="rId31" Type="http://schemas.openxmlformats.org/officeDocument/2006/relationships/chart" Target="charts/chart17.xml"/><Relationship Id="rId44" Type="http://schemas.openxmlformats.org/officeDocument/2006/relationships/chart" Target="charts/chart30.xml"/><Relationship Id="rId52" Type="http://schemas.openxmlformats.org/officeDocument/2006/relationships/chart" Target="charts/chart38.xml"/><Relationship Id="rId60" Type="http://schemas.openxmlformats.org/officeDocument/2006/relationships/chart" Target="charts/chart46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chart" Target="charts/chart8.xml"/><Relationship Id="rId27" Type="http://schemas.openxmlformats.org/officeDocument/2006/relationships/chart" Target="charts/chart13.xml"/><Relationship Id="rId30" Type="http://schemas.openxmlformats.org/officeDocument/2006/relationships/chart" Target="charts/chart16.xml"/><Relationship Id="rId35" Type="http://schemas.openxmlformats.org/officeDocument/2006/relationships/chart" Target="charts/chart21.xml"/><Relationship Id="rId43" Type="http://schemas.openxmlformats.org/officeDocument/2006/relationships/chart" Target="charts/chart29.xml"/><Relationship Id="rId48" Type="http://schemas.openxmlformats.org/officeDocument/2006/relationships/chart" Target="charts/chart34.xml"/><Relationship Id="rId56" Type="http://schemas.openxmlformats.org/officeDocument/2006/relationships/chart" Target="charts/chart42.xml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chart" Target="charts/chart37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chart" Target="charts/chart3.xml"/><Relationship Id="rId25" Type="http://schemas.openxmlformats.org/officeDocument/2006/relationships/chart" Target="charts/chart11.xml"/><Relationship Id="rId33" Type="http://schemas.openxmlformats.org/officeDocument/2006/relationships/chart" Target="charts/chart19.xml"/><Relationship Id="rId38" Type="http://schemas.openxmlformats.org/officeDocument/2006/relationships/chart" Target="charts/chart24.xml"/><Relationship Id="rId46" Type="http://schemas.openxmlformats.org/officeDocument/2006/relationships/chart" Target="charts/chart32.xml"/><Relationship Id="rId59" Type="http://schemas.openxmlformats.org/officeDocument/2006/relationships/chart" Target="charts/chart4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VAIO\Desktop\MERCEDES%202016\AMPARITO\TABULACION%20ENCUESTA%20MECI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1.xlsx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2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3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4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5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VAIO\Desktop\MERCEDES%202016\AMPARITO\TABULACION%20ENCUESTA%20MECI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7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8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9.xlsx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0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1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2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3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4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5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6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7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8.xlsx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9.xlsx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0.xlsx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1.xlsx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2.xlsx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3.xlsx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EXISTE UN DOCUMENTO CON LOS PRINCIPIOS Y VALORES ETICOS DE LA ENTIDAD?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original!$C$5:$C$10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original!$D$5:$D$10</c:f>
              <c:numCache>
                <c:formatCode>General</c:formatCode>
                <c:ptCount val="6"/>
                <c:pt idx="3">
                  <c:v>8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A97-480C-85F9-A54E0463AB1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Están los planes de la Entidad integrados con las Políticas del Sistema de Gestión de la calidad 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(3)'!$B$88:$C$93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(3)'!$D$88:$D$93</c:f>
              <c:numCache>
                <c:formatCode>General</c:formatCode>
                <c:ptCount val="6"/>
                <c:pt idx="2">
                  <c:v>6</c:v>
                </c:pt>
                <c:pt idx="3">
                  <c:v>3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A58-44A4-A487-666C8392F9C1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misión  y visión  institucional  fueron adoptados  mediante acto</a:t>
            </a:r>
          </a:p>
          <a:p>
            <a:pPr>
              <a:defRPr sz="1200" b="0"/>
            </a:pPr>
            <a:r>
              <a:rPr lang="es-CO" sz="1200" b="0"/>
              <a:t>Administrativo y se emplearon a nivel interno y externo instrumentos, herramientas, eventos de difusión y/o demás actividades  que demuestren la socialización  y difusión de la mision, vi</a:t>
            </a:r>
          </a:p>
        </c:rich>
      </c:tx>
      <c:layout>
        <c:manualLayout>
          <c:xMode val="edge"/>
          <c:yMode val="edge"/>
          <c:x val="7.6173731580416543E-2"/>
          <c:y val="4.6194218084325445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(3)'!$B$98:$C$103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(3)'!$D$98:$D$103</c:f>
              <c:numCache>
                <c:formatCode>General</c:formatCode>
                <c:ptCount val="6"/>
                <c:pt idx="2">
                  <c:v>1</c:v>
                </c:pt>
                <c:pt idx="3">
                  <c:v>8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F11-4EE8-8378-6E9EEDCBC49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Los objetivos institucionales son parte integral de la planeación de la entidad, sus programas y proyectos, están orientados a su cumplimiento?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(3)'!$B$116:$C$121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(3)'!$D$116:$D$121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4D1-4713-AE75-F0FD6528D420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Existen Planes de Acción Anuales que definen las metas a cumplir con respeto al Plan de Desarrollo y Planes Anuales Mensualizados  de Caja (PAC) que permiten conocer las metas planificadas por año para cumplir con los ingresos y gastos de la 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(3)'!$B$116:$C$121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(3)'!$D$116:$D$121</c:f>
              <c:numCache>
                <c:formatCode>General</c:formatCode>
                <c:ptCount val="6"/>
                <c:pt idx="2">
                  <c:v>1</c:v>
                </c:pt>
                <c:pt idx="3">
                  <c:v>6</c:v>
                </c:pt>
                <c:pt idx="4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07-4962-A600-049D2604A3F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tiene establecido un mapa de procesos donde se evidencia la interrelación de estos, articulados  entre estratégicos, misionales, de apoyo, y de evaluación y seguimiento?</a:t>
            </a:r>
          </a:p>
        </c:rich>
      </c:tx>
      <c:layout>
        <c:manualLayout>
          <c:xMode val="edge"/>
          <c:yMode val="edge"/>
          <c:x val="0.10415266841644796"/>
          <c:y val="2.7777777777777776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(3)'!$B$125:$C$130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(3)'!$D$125:$D$130</c:f>
              <c:numCache>
                <c:formatCode>General</c:formatCode>
                <c:ptCount val="6"/>
                <c:pt idx="2">
                  <c:v>1</c:v>
                </c:pt>
                <c:pt idx="3">
                  <c:v>8</c:v>
                </c:pt>
                <c:pt idx="4">
                  <c:v>1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0B4-4CDF-8395-2135161A2B07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ha aplicado instrumentos, herramientas, eventos de difusión y/o demás actividades que demuestren la socialización y difusión del Mapa de procesos y sus procedimientos. (Cartillas, Correos electrónicos, Cartelera de la Entidad, Conc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(3)'!$B$134:$C$139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(3)'!$D$134:$D$139</c:f>
              <c:numCache>
                <c:formatCode>General</c:formatCode>
                <c:ptCount val="6"/>
                <c:pt idx="3">
                  <c:v>8</c:v>
                </c:pt>
                <c:pt idx="4">
                  <c:v>2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FA9-4E20-94BF-DDFE1A2339D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tiene establecidos  los  procedimientos  que le permiten evaluar permanentemente la satisfacción de los clientes con respecto a los  servicios ofrecidos  en la organización,  y realizar el seguimiento respectivo?</a:t>
            </a:r>
          </a:p>
        </c:rich>
      </c:tx>
      <c:layout>
        <c:manualLayout>
          <c:xMode val="edge"/>
          <c:yMode val="edge"/>
          <c:x val="9.4388888888888897E-2"/>
          <c:y val="1.3888888888888888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(3)'!$B$143:$C$148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(3)'!$D$143:$D$148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CDF-4202-8BD0-C6CF3C44952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tiene una estructura flexible que le permite trabajar por procesos, donde se identifican niveles de responsabilidad y autoridad?</a:t>
            </a:r>
          </a:p>
        </c:rich>
      </c:tx>
      <c:layout>
        <c:manualLayout>
          <c:xMode val="edge"/>
          <c:yMode val="edge"/>
          <c:x val="0.10579155730533685"/>
          <c:y val="1.3888888888888888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(3)'!$B$152:$C$157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(3)'!$D$152:$D$157</c:f>
              <c:numCache>
                <c:formatCode>General</c:formatCode>
                <c:ptCount val="6"/>
                <c:pt idx="3">
                  <c:v>8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135-4AF7-9C44-73D5C52907F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cuenta con  indicadores  de eficiencia,  eficacia y efectividad que permiten tomar decisiones para evitar desviaciones?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(3)'!$B$161:$C$166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(3)'!$D$161:$D$166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044-4868-9665-9AAF2DB4F4F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 i="0"/>
            </a:pPr>
            <a:r>
              <a:rPr lang="es-CO" sz="1200" b="0" i="0"/>
              <a:t> Existen  indicadores  por procesos  que aportan a la medición de la gestión?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(3)'!$B$170:$C$175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(3)'!$D$170:$D$175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E88-4091-93B5-E9D97EB2D2C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EXISTE  UN  ACTO ADMINISTRATIVO  QUE  ADOPTA EL  DOCUMENTO  CON  LOS PRINCIPIOS Y VALORES DE LA ENTIDAD?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original!$C$14:$C$19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original!$D$14:$D$19</c:f>
              <c:numCache>
                <c:formatCode>General</c:formatCode>
                <c:ptCount val="6"/>
                <c:pt idx="3">
                  <c:v>7</c:v>
                </c:pt>
                <c:pt idx="4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975-4F0A-B8B4-6AB892003D0A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spPr>
    <a:ln>
      <a:solidFill>
        <a:schemeClr val="tx1"/>
      </a:solidFill>
    </a:ln>
  </c:sp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Existen fichas de los indicadores que permitan consultarlos de manera fácil?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(3)'!$B$180:$C$185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(3)'!$D$180:$D$185</c:f>
              <c:numCache>
                <c:formatCode>General</c:formatCode>
                <c:ptCount val="6"/>
                <c:pt idx="3">
                  <c:v>9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CEF-4EE5-9E06-3B1E947DB4C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Los responsables y sus equipos de trabajo hacen seguimiento de los indicadores según la periodicidad definida en la política de operación de la entidad?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(3)'!$B$190:$C$195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(3)'!$D$190:$D$195</c:f>
              <c:numCache>
                <c:formatCode>General</c:formatCode>
                <c:ptCount val="6"/>
                <c:pt idx="2">
                  <c:v>1</c:v>
                </c:pt>
                <c:pt idx="3">
                  <c:v>8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3B2-4DED-A13A-7692671A98F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estableció y divulgó la Política de Operación mediante instrumentos, herramientas, eventos de difusión y/o demás actividades que demuestran  la socialización  y difusión de las  mismas. (Cartillas, Correos electrónicos, Cartelera d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(3)'!$B$200:$C$205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(3)'!$D$200:$D$205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A4B-4D33-A16C-0694E4559A3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emitió el Acto Administrativo a través del cual adopta su Manual de  Operaciones  (Manual de  procedimientos  -  Manual de Calidad) y realizó la divulgación del mismo?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(3)'!$B$209:$C$214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(3)'!$D$209:$D$214</c:f>
              <c:numCache>
                <c:formatCode>General</c:formatCode>
                <c:ptCount val="6"/>
                <c:pt idx="2">
                  <c:v>1</c:v>
                </c:pt>
                <c:pt idx="3">
                  <c:v>9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B15-4F2D-B4FA-738DA82937A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Alta Dirección de la Entidad definió las Políticas para el Manejo de los Riesgos y emitió el Acto administrativo o documento  a través del cual las adoptan?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(3)'!$B$218:$C$223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(3)'!$D$218:$D$223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AFE-4868-9436-4D158FB8EB5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divulgó el mapa de riesgos institucional y sus políticas por medio de Instrumentos, herramientas, eventos de difusión y/o demás actividades que demuestren la socialización y difusión de los Mapas de Riesgos de la entidad. (Cartilla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(3)'!$B$227:$C$232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(3)'!$D$227:$D$232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DE7-4C37-9E5F-97FA242C3B9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Identificó los factores  internos  y externos de riesgo que puedan generar eventos de riesgo?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(3)'!$B$236:$C$241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(3)'!$D$236:$D$241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DE5-4F21-B940-7C1A5CFBE1A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identificó los Riesgos por procesos que pueden afectar el cumplimiento de sus objetivos?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(3)'!$B$245:$C$250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(3)'!$D$245:$D$250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897-40C9-9223-79886861C51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elaboró un Documento de análisis del riesgo teniendo en cuenta su probabilidad y factibilidad de ocurrencia y el posible</a:t>
            </a:r>
          </a:p>
          <a:p>
            <a:pPr>
              <a:defRPr sz="1200" b="0"/>
            </a:pPr>
            <a:r>
              <a:rPr lang="es-CO" sz="1200" b="0"/>
              <a:t>Impacto  en caso de materialización; donde se evalúa si los controles para valorar los riesgos son adecuados y </a:t>
            </a:r>
          </a:p>
        </c:rich>
      </c:tx>
      <c:layout>
        <c:manualLayout>
          <c:xMode val="edge"/>
          <c:yMode val="edge"/>
          <c:x val="0.10065266841644795"/>
          <c:y val="1.8518518518518517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(3)'!$B$254:$C$259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(3)'!$D$254:$D$259</c:f>
              <c:numCache>
                <c:formatCode>General</c:formatCode>
                <c:ptCount val="6"/>
                <c:pt idx="2">
                  <c:v>1</c:v>
                </c:pt>
                <c:pt idx="3">
                  <c:v>8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FB0-4349-8FA2-0C12E024FB3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tiene un Mapa de Gestión del Riesgo Institucional, en el cual se elevan todos los Riesgos identificados de los procesos Misionales, y los Riesgos de Corrupción, según lo establecido por la Ley 1474 de 2011?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(3)'!$B$263:$C$268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(3)'!$D$263:$D$268</c:f>
              <c:numCache>
                <c:formatCode>General</c:formatCode>
                <c:ptCount val="6"/>
                <c:pt idx="3">
                  <c:v>9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928-4E53-9E61-324667DF794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EXISTEN  ESTRATEGIAS  DE SOCIALIZACIÓN  PERMANENTE DE LOS  PRINCIPIOS  Y VALORES DE LA ENTIDAD?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original!$C$23:$C$28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original!$D$23:$D$28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483-43D7-B4FA-8CD3D3BA535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realizó actividades de sensibilización a los servidores sobre la cultura de la autoevaluación mediante instrumentos,  herramientas, eventos  de  difusión  y/o  demás actividades   que  demuestran   la sensibilización sobre el tema 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(3)'!$B$272:$C$277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(3)'!$D$272:$D$277</c:f>
              <c:numCache>
                <c:formatCode>General</c:formatCode>
                <c:ptCount val="6"/>
                <c:pt idx="2">
                  <c:v>1</c:v>
                </c:pt>
                <c:pt idx="3">
                  <c:v>9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C62-4546-8FF1-AC25BA0F6A4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información que recopiló la Entidad le ha servido para realizar la autoevaluación de la gestión?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(3)'!$B$282:$C$287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(3)'!$D$282:$D$287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CBF-4612-B932-1BF2C6343B6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700"/>
      </a:pPr>
      <a:endParaRPr lang="es-CO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está en capacidad de alimentar el proceso de autoevaluacion a partir de otros sistemas que le permitan ejercer el proceso de manera correcta.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(3)'!$B$292:$C$297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(3)'!$D$292:$D$297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E00-4408-9A7A-41605C81303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estableció el Programa de auditorías - Plan de Auditorías para la vigencia, incluyendo  las Auditorías  de Gestión y las de Calidad,  fue aprobado por el Comité de Coordinación de Control interno?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(3)'!$B$302:$C$307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(3)'!$D$302:$D$307</c:f>
              <c:numCache>
                <c:formatCode>General</c:formatCode>
                <c:ptCount val="6"/>
                <c:pt idx="3">
                  <c:v>9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C1C-42FD-9AA7-C5FAFEBCEF9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El Informe Ejecutivo Anual de Control Interno fue realizado de acuerdo a los lineamientos del Departamento Administrativo de la Función Pública</a:t>
            </a:r>
          </a:p>
          <a:p>
            <a:pPr>
              <a:defRPr sz="1200" b="0"/>
            </a:pPr>
            <a:r>
              <a:rPr lang="es-CO" sz="1200" b="0"/>
              <a:t>-DAFP, y sirve como insumo para el fortalecimiento continuo y mejora del Sistema de Control Interno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(3)'!$B$311:$C$316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(3)'!$D$311:$D$316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8A7-49C2-BD33-4896FA4A09C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tiene definidas  las Herramientas  de evaluación para la elaboración del plan de mejoramiento?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(3)'!$B$320:$C$325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(3)'!$D$320:$D$325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E48-4249-979D-EBD06E39E54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 en la Entidad un proceso, procedimiento o mecanismo a través del  cual se trabajen recomendaciones  y  análisis  generados  en  el desarrollo del Componente de Auditoría Interna y las observaciones del Órgano de Control Fiscal?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(3)'!$B$329:$C$334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(3)'!$D$329:$D$334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42-4B09-8B4E-0D6D77B7A84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Dicho proceso,  procedimiento o  mecanismo   está  documentado y permite  realizar seguimiento  a  las  acciones  emprendidas   por  los responsables y la verificación de estas?</a:t>
            </a:r>
          </a:p>
        </c:rich>
      </c:tx>
      <c:layout>
        <c:manualLayout>
          <c:xMode val="edge"/>
          <c:yMode val="edge"/>
          <c:x val="0.14659711286089239"/>
          <c:y val="3.7037037037037035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(3)'!$B$338:$C$343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(3)'!$D$338:$D$343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7C2-4509-B833-77E7B035EFC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tiene establecido  el mecanismo  para el seguimiento  y evaluación de las acciones definidas en los planes de mejoramiento?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es-CO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(3)'!$B$347:$C$352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(3)'!$D$347:$D$352</c:f>
              <c:numCache>
                <c:formatCode>General</c:formatCode>
                <c:ptCount val="6"/>
                <c:pt idx="2">
                  <c:v>2</c:v>
                </c:pt>
                <c:pt idx="3">
                  <c:v>8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DC6-4CD8-A1E9-B4EBDEAC42F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  <c:txPr>
        <a:bodyPr/>
        <a:lstStyle/>
        <a:p>
          <a:pPr>
            <a:defRPr sz="1000"/>
          </a:pPr>
          <a:endParaRPr lang="es-CO"/>
        </a:p>
      </c:txPr>
    </c:legend>
    <c:plotVisOnly val="1"/>
    <c:dispBlanksAs val="gap"/>
    <c:showDLblsOverMax val="0"/>
  </c:chart>
  <c:txPr>
    <a:bodyPr/>
    <a:lstStyle/>
    <a:p>
      <a:pPr>
        <a:defRPr sz="1200"/>
      </a:pPr>
      <a:endParaRPr lang="es-CO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La Entidad estableció  el mecanismo  para identificar la información externa (Recepción  de Peticiones, Quejas,  Reclamos  y/o  Denuncias, Buzón de sugerencias, Encuestas de satisfacción, entre otras). 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(3)'!$B$356:$C$361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(3)'!$D$356:$D$361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716-4CFD-BB24-23D3EA7F6E5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 un Manual de Funciones y competencias laborales, adoptado, actualizado  y socializado para cada uno de los cargos de la Entidad.?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original!$C$32:$C$37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original!$D$32:$D$37</c:f>
              <c:numCache>
                <c:formatCode>General</c:formatCode>
                <c:ptCount val="6"/>
                <c:pt idx="2">
                  <c:v>2</c:v>
                </c:pt>
                <c:pt idx="3">
                  <c:v>6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87B-4581-B1B7-1A7612361FC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 i="0"/>
            </a:pPr>
            <a:r>
              <a:rPr lang="es-CO" sz="1200" b="0" i="0"/>
              <a:t>La Entidad cuenta con fuentes  internas  de información (manuales, informes, actas, actos administrativos) sistematizadas y de fácil acceso que  permita  consultar  toda  la  documentación y/o  archivos   de importancia para el funcionamiento</a:t>
            </a:r>
          </a:p>
        </c:rich>
      </c:tx>
      <c:layout>
        <c:manualLayout>
          <c:xMode val="edge"/>
          <c:yMode val="edge"/>
          <c:x val="6.8923665791776029E-2"/>
          <c:y val="0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(3)'!$B$365:$C$370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(3)'!$D$365:$D$370</c:f>
              <c:numCache>
                <c:formatCode>General</c:formatCode>
                <c:ptCount val="6"/>
                <c:pt idx="2">
                  <c:v>5</c:v>
                </c:pt>
                <c:pt idx="3">
                  <c:v>4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8C7-499B-851D-25CFC128076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realizó una Rendición anual de cuentas con la intervención de los distintos grupos de interés, veedurías y ciudadanía, estableciendo un mecanismo  donde se comunique información sobre  programas, proyectos, obras, contratos y admin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(3)'!$B$374:$C$379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(3)'!$D$374:$D$379</c:f>
              <c:numCache>
                <c:formatCode>General</c:formatCode>
                <c:ptCount val="6"/>
                <c:pt idx="1">
                  <c:v>4</c:v>
                </c:pt>
                <c:pt idx="2">
                  <c:v>3</c:v>
                </c:pt>
                <c:pt idx="3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752-400F-98FC-A517F09C405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tiene establecidas  las Tablas de retención documental, su proceso y actividades de Gestión Documental de acuerdo con la Ley 594 de 2000 o la norma que la modifique o sustituya?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(3)'!$B$384:$C$389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(3)'!$D$384:$D$389</c:f>
              <c:numCache>
                <c:formatCode>General</c:formatCode>
                <c:ptCount val="6"/>
                <c:pt idx="2">
                  <c:v>6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2FD-4A0B-8485-6B249B95325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tiene una política,  proceso o procedimiento de Comunicación, establecido como un  mecanismo  con los usuarios internos y externos, y  contiene, entre otros, los siguientes elementos: Matriz de comunicaciones,Guía de comunicaciones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(3)'!$B$394:$C$399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(3)'!$D$394:$D$399</c:f>
              <c:numCache>
                <c:formatCode>General</c:formatCode>
                <c:ptCount val="6"/>
                <c:pt idx="2">
                  <c:v>1</c:v>
                </c:pt>
                <c:pt idx="3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53F-4340-AA29-9AE0EE68BBB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 Entidad  tiene  un  manejo  organizado o  sistematizado   de  la correspondencia,  para los  documentos  de tal manera que no haya contratiempos entre la correspondencia recibida y la respuesta que se genera al usuario y/o grupo de inter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(3)'!$B$404:$C$409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(3)'!$D$404:$D$409</c:f>
              <c:numCache>
                <c:formatCode>General</c:formatCode>
                <c:ptCount val="6"/>
                <c:pt idx="2">
                  <c:v>6</c:v>
                </c:pt>
                <c:pt idx="3">
                  <c:v>2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A92-4902-9A3C-B7119FC068F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cuenta con un manejo organizado o sistematizado de los recursos   físicos,  humanos,  financieros y  tecnológicos,  mediante la asociación de procesos, procedimientos y guías donde se establece el manejo de éstos y su adecuada utiliz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(3)'!$B$414:$C$419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(3)'!$D$414:$D$419</c:f>
              <c:numCache>
                <c:formatCode>General</c:formatCode>
                <c:ptCount val="6"/>
                <c:pt idx="3">
                  <c:v>5</c:v>
                </c:pt>
                <c:pt idx="4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F3-40F6-986E-99985E8269B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 i="0" baseline="0">
                <a:effectLst/>
              </a:rPr>
              <a:t>La Entidad ha diseñado he implementado mecanismos de consulta con distintos grupos de interés para obtener información sobre necesidades y prioridades en la prestación del servicio?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(3)'!$B$424:$C$429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(3)'!$D$424:$D$429</c:f>
              <c:numCache>
                <c:formatCode>General</c:formatCode>
                <c:ptCount val="6"/>
                <c:pt idx="2">
                  <c:v>1</c:v>
                </c:pt>
                <c:pt idx="3">
                  <c:v>7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1E-4D8E-B184-5FA87532AAB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La Entidad ha puesto a disposición de sus usuarios y/o grupos de interés diferentes medios de acceso a la información de la organización, como página  Web, carteleras comunitarias,  periódico  oficial,  buzón  de sugerencias, entre otros?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(3)'!$B$434:$C$439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(3)'!$D$434:$D$439</c:f>
              <c:numCache>
                <c:formatCode>General</c:formatCode>
                <c:ptCount val="6"/>
                <c:pt idx="3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74A-4412-B9C8-AB1B60E5F0F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Existe  un  Plan Institucional  de  Formación  y  Capacitación (Anual), formulado de acuerdo a las necesidades de los Servidores Públicos?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original!$C$41:$C$46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original!$D$41:$D$46</c:f>
              <c:numCache>
                <c:formatCode>General</c:formatCode>
                <c:ptCount val="6"/>
                <c:pt idx="2">
                  <c:v>1</c:v>
                </c:pt>
                <c:pt idx="3">
                  <c:v>6</c:v>
                </c:pt>
                <c:pt idx="4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089-44A9-8D59-1DDBDF1735A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:Existe  un  Programa de  Inducción para empleados  nuevos  y  de Reinducción  en el caso  de cambios  organizacionales,  técnicos  y/o normativos?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original!$C$50:$C$55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original!$D$50:$D$55</c:f>
              <c:numCache>
                <c:formatCode>General</c:formatCode>
                <c:ptCount val="6"/>
                <c:pt idx="2">
                  <c:v>1</c:v>
                </c:pt>
                <c:pt idx="3">
                  <c:v>9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E3F-4BE6-B04F-E31809D0EDE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  un  Programa de  Bienestar  (Anual) de conformidad con los artículos 70 y 75 del Decreto 1227 de 2005?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(3)'!$B$59:$C$64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(3)'!$D$59:$D$64</c:f>
              <c:numCache>
                <c:formatCode>General</c:formatCode>
                <c:ptCount val="6"/>
                <c:pt idx="3">
                  <c:v>8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A5E-4C39-9763-98B65F10630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 Existe un Plan de Incentivos (Anual) adoptado por medio de un acto administrativo.?</a:t>
            </a: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(3)'!$B$68:$C$73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(3)'!$D$68:$D$73</c:f>
              <c:numCache>
                <c:formatCode>General</c:formatCode>
                <c:ptCount val="6"/>
                <c:pt idx="3">
                  <c:v>8</c:v>
                </c:pt>
                <c:pt idx="4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B76-4835-8C3F-E36A0CB621D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0"/>
            </a:pPr>
            <a:r>
              <a:rPr lang="es-CO" sz="1200" b="0"/>
              <a:t>Existen  un sistema  de evaluación del desempeño  de acuerdo a la normatividad que aplica a la Entidad.?</a:t>
            </a:r>
          </a:p>
        </c:rich>
      </c:tx>
      <c:layout>
        <c:manualLayout>
          <c:xMode val="edge"/>
          <c:yMode val="edge"/>
          <c:x val="8.865966754155731E-2"/>
          <c:y val="9.2592592592592587E-3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'original (3)'!$B$78:$C$83</c:f>
              <c:strCache>
                <c:ptCount val="6"/>
                <c:pt idx="0">
                  <c:v>No Aplica </c:v>
                </c:pt>
                <c:pt idx="1">
                  <c:v>No existe</c:v>
                </c:pt>
                <c:pt idx="2">
                  <c:v>En desarrollo</c:v>
                </c:pt>
                <c:pt idx="3">
                  <c:v>Implementado</c:v>
                </c:pt>
                <c:pt idx="4">
                  <c:v>Por mejorar</c:v>
                </c:pt>
                <c:pt idx="5">
                  <c:v>Auditado</c:v>
                </c:pt>
              </c:strCache>
            </c:strRef>
          </c:cat>
          <c:val>
            <c:numRef>
              <c:f>'original (3)'!$D$78:$D$83</c:f>
              <c:numCache>
                <c:formatCode>General</c:formatCode>
                <c:ptCount val="6"/>
                <c:pt idx="3">
                  <c:v>10</c:v>
                </c:pt>
                <c:pt idx="4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06F-4FAE-BBBB-B53E82E1AC11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29</Pages>
  <Words>3372</Words>
  <Characters>18550</Characters>
  <Application>Microsoft Office Word</Application>
  <DocSecurity>0</DocSecurity>
  <Lines>154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mercedes gaona torres</dc:creator>
  <cp:keywords/>
  <dc:description/>
  <cp:lastModifiedBy>mercedes gaona torres</cp:lastModifiedBy>
  <cp:revision>21</cp:revision>
  <dcterms:created xsi:type="dcterms:W3CDTF">2018-11-16T15:48:00Z</dcterms:created>
  <dcterms:modified xsi:type="dcterms:W3CDTF">2018-12-11T17:08:00Z</dcterms:modified>
</cp:coreProperties>
</file>